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14E7E">
      <w:pPr>
        <w:rPr>
          <w:rFonts w:ascii="Arial" w:hAnsi="Arial" w:cs="Arial"/>
          <w:b/>
        </w:rPr>
      </w:pPr>
      <w:bookmarkStart w:id="0" w:name="_GoBack"/>
      <w:bookmarkEnd w:id="0"/>
      <w:r>
        <w:rPr>
          <w:rFonts w:ascii="Arial" w:hAnsi="Arial" w:cs="Arial"/>
          <w:b/>
        </w:rPr>
        <w:t>CTC 450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Coordinator: Jayne Baran      </w:t>
      </w:r>
    </w:p>
    <w:p w:rsidR="00000000" w:rsidRDefault="00514E7E">
      <w:pPr>
        <w:rPr>
          <w:rFonts w:ascii="Arial" w:hAnsi="Arial" w:cs="Arial"/>
          <w:b/>
        </w:rPr>
      </w:pPr>
      <w:r>
        <w:rPr>
          <w:rFonts w:ascii="Arial" w:hAnsi="Arial" w:cs="Arial"/>
          <w:b/>
          <w:color w:val="333399"/>
        </w:rPr>
        <w:t>Water and Wastewater Systems</w:t>
      </w:r>
      <w:r>
        <w:rPr>
          <w:rFonts w:ascii="Arial" w:hAnsi="Arial" w:cs="Arial"/>
          <w:b/>
          <w:color w:val="000080"/>
        </w:rPr>
        <w:tab/>
      </w:r>
      <w:r>
        <w:rPr>
          <w:rFonts w:ascii="Arial" w:hAnsi="Arial" w:cs="Arial"/>
          <w:b/>
          <w:color w:val="000080"/>
        </w:rPr>
        <w:tab/>
      </w:r>
      <w:r>
        <w:rPr>
          <w:rFonts w:ascii="Arial" w:hAnsi="Arial" w:cs="Arial"/>
          <w:b/>
          <w:color w:val="000080"/>
        </w:rPr>
        <w:tab/>
        <w:t xml:space="preserve">Classroom: Class to be held online </w:t>
      </w:r>
    </w:p>
    <w:p w:rsidR="00000000" w:rsidRDefault="00514E7E">
      <w:pPr>
        <w:rPr>
          <w:rFonts w:ascii="Arial" w:hAnsi="Arial" w:cs="Arial"/>
          <w:b/>
        </w:rPr>
      </w:pPr>
      <w:r>
        <w:rPr>
          <w:rFonts w:ascii="Arial" w:hAnsi="Arial" w:cs="Arial"/>
          <w:b/>
        </w:rPr>
        <w:t>Fall 2020</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Time: TR 10 am to 11 am (synch)</w:t>
      </w:r>
    </w:p>
    <w:p w:rsidR="00000000" w:rsidRDefault="00514E7E">
      <w:pPr>
        <w:rPr>
          <w:rFonts w:ascii="Arial" w:hAnsi="Arial" w:cs="Arial"/>
          <w:b/>
        </w:rPr>
      </w:pPr>
    </w:p>
    <w:p w:rsidR="00000000" w:rsidRDefault="00514E7E">
      <w:pPr>
        <w:rPr>
          <w:rFonts w:ascii="Arial" w:hAnsi="Arial" w:cs="Arial"/>
          <w:b/>
        </w:rPr>
      </w:pPr>
      <w:r>
        <w:rPr>
          <w:rFonts w:ascii="Arial" w:hAnsi="Arial" w:cs="Arial"/>
          <w:b/>
        </w:rPr>
        <w:t>Synchronous—use Blackbboard Collaborate</w:t>
      </w:r>
    </w:p>
    <w:p w:rsidR="00000000" w:rsidRDefault="00514E7E">
      <w:pPr>
        <w:rPr>
          <w:rFonts w:ascii="Arial" w:hAnsi="Arial" w:cs="Arial"/>
          <w:b/>
        </w:rPr>
      </w:pPr>
      <w:r>
        <w:rPr>
          <w:rFonts w:ascii="Arial" w:hAnsi="Arial" w:cs="Arial"/>
          <w:b/>
        </w:rPr>
        <w:t xml:space="preserve">Asynchronous activities-Use Blackboard   </w:t>
      </w:r>
    </w:p>
    <w:p w:rsidR="00000000" w:rsidRDefault="00514E7E">
      <w:pPr>
        <w:rPr>
          <w:rFonts w:ascii="Arial" w:hAnsi="Arial" w:cs="Arial"/>
          <w:b/>
        </w:rPr>
      </w:pPr>
      <w:r>
        <w:rPr>
          <w:rFonts w:ascii="Arial" w:hAnsi="Arial" w:cs="Arial"/>
          <w:b/>
        </w:rPr>
        <w:tab/>
      </w:r>
      <w:r>
        <w:rPr>
          <w:rFonts w:ascii="Arial" w:hAnsi="Arial" w:cs="Arial"/>
          <w:b/>
        </w:rPr>
        <w:tab/>
      </w:r>
    </w:p>
    <w:p w:rsidR="00000000" w:rsidRDefault="00514E7E">
      <w:r>
        <w:rPr>
          <w:rFonts w:ascii="Arial" w:hAnsi="Arial" w:cs="Arial"/>
          <w:b/>
          <w:color w:val="333399"/>
          <w:u w:val="single"/>
        </w:rPr>
        <w:t>Course Description:</w:t>
      </w:r>
      <w:r>
        <w:rPr>
          <w:rFonts w:ascii="Arial" w:hAnsi="Arial" w:cs="Arial"/>
          <w:b/>
          <w:color w:val="333399"/>
          <w:u w:val="single"/>
        </w:rPr>
        <w:br/>
      </w:r>
      <w:r>
        <w:t>Course covers water quality, water supply systems, wastewater systems, solid waste management, and pollution control.  Prerequisite: Coursework in hydrology and hydraulics. Corequisite: CHE 110T/L</w:t>
      </w:r>
    </w:p>
    <w:p w:rsidR="00000000" w:rsidRDefault="00514E7E">
      <w:pPr>
        <w:pStyle w:val="BodyText"/>
      </w:pPr>
      <w:r>
        <w:t>Credit Hours:  4</w:t>
      </w:r>
    </w:p>
    <w:p w:rsidR="00000000" w:rsidRDefault="00514E7E">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Learning Outcomes:</w:t>
      </w:r>
    </w:p>
    <w:p w:rsidR="00000000" w:rsidRDefault="00514E7E">
      <w:pPr>
        <w:pStyle w:val="NormalWeb"/>
        <w:shd w:val="clear" w:color="auto" w:fill="FFFFFF"/>
        <w:spacing w:line="236" w:lineRule="atLeast"/>
        <w:rPr>
          <w:rFonts w:ascii="Arial" w:hAnsi="Arial" w:cs="Arial"/>
          <w:b/>
          <w:color w:val="333399"/>
          <w:u w:val="single"/>
        </w:rPr>
      </w:pPr>
      <w:r>
        <w:rPr>
          <w:color w:val="auto"/>
        </w:rPr>
        <w:t>Eac</w:t>
      </w:r>
      <w:r>
        <w:rPr>
          <w:color w:val="auto"/>
        </w:rPr>
        <w:t>h student will demonstrate the ability to:</w:t>
      </w:r>
    </w:p>
    <w:p w:rsidR="00000000" w:rsidRDefault="00514E7E">
      <w:pPr>
        <w:pStyle w:val="NormalWeb"/>
        <w:numPr>
          <w:ilvl w:val="0"/>
          <w:numId w:val="2"/>
        </w:numPr>
        <w:shd w:val="clear" w:color="auto" w:fill="FFFFFF"/>
        <w:rPr>
          <w:color w:val="auto"/>
        </w:rPr>
      </w:pPr>
      <w:r>
        <w:rPr>
          <w:color w:val="auto"/>
        </w:rPr>
        <w:t xml:space="preserve">Determine the resultant hydrostatic force on a submerged, inclined gate  </w:t>
      </w:r>
    </w:p>
    <w:p w:rsidR="00000000" w:rsidRDefault="00514E7E">
      <w:pPr>
        <w:pStyle w:val="NormalWeb"/>
        <w:numPr>
          <w:ilvl w:val="0"/>
          <w:numId w:val="2"/>
        </w:numPr>
        <w:shd w:val="clear" w:color="auto" w:fill="FFFFFF"/>
        <w:tabs>
          <w:tab w:val="left" w:pos="5904"/>
        </w:tabs>
        <w:rPr>
          <w:color w:val="auto"/>
        </w:rPr>
      </w:pPr>
      <w:r>
        <w:rPr>
          <w:color w:val="auto"/>
        </w:rPr>
        <w:t xml:space="preserve">Apply Bernoulli’s equation and draw an Energy/Hydraulic Grade Line  </w:t>
      </w:r>
    </w:p>
    <w:p w:rsidR="00000000" w:rsidRDefault="00514E7E">
      <w:pPr>
        <w:pStyle w:val="NormalWeb"/>
        <w:numPr>
          <w:ilvl w:val="0"/>
          <w:numId w:val="2"/>
        </w:numPr>
        <w:shd w:val="clear" w:color="auto" w:fill="FFFFFF"/>
        <w:rPr>
          <w:color w:val="auto"/>
        </w:rPr>
      </w:pPr>
      <w:r>
        <w:rPr>
          <w:color w:val="auto"/>
        </w:rPr>
        <w:t>Determine detention time, overflow rate, weir loading rate and percent</w:t>
      </w:r>
      <w:r>
        <w:rPr>
          <w:color w:val="auto"/>
        </w:rPr>
        <w:t xml:space="preserve"> solids removal of a clarifier  </w:t>
      </w:r>
    </w:p>
    <w:p w:rsidR="00000000" w:rsidRDefault="00514E7E">
      <w:pPr>
        <w:pStyle w:val="NormalWeb"/>
        <w:numPr>
          <w:ilvl w:val="0"/>
          <w:numId w:val="2"/>
        </w:numPr>
        <w:shd w:val="clear" w:color="auto" w:fill="FFFFFF"/>
        <w:rPr>
          <w:color w:val="auto"/>
        </w:rPr>
      </w:pPr>
      <w:r>
        <w:rPr>
          <w:color w:val="auto"/>
        </w:rPr>
        <w:t>Use computer software to solve open channel flow problems</w:t>
      </w:r>
    </w:p>
    <w:p w:rsidR="00000000" w:rsidRDefault="00514E7E">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Required Text and Materials:</w:t>
      </w:r>
    </w:p>
    <w:p w:rsidR="00000000" w:rsidRDefault="00514E7E">
      <w:pPr>
        <w:ind w:left="1440" w:hanging="1440"/>
      </w:pPr>
      <w:r>
        <w:t xml:space="preserve">Nathanson, Jerry A. and Schneider, Richard A., </w:t>
      </w:r>
      <w:r>
        <w:rPr>
          <w:u w:val="single"/>
        </w:rPr>
        <w:t>Basic Environmental Technology,</w:t>
      </w:r>
      <w:r>
        <w:t xml:space="preserve"> Pearson, 2015, </w:t>
      </w:r>
    </w:p>
    <w:p w:rsidR="00000000" w:rsidRDefault="00514E7E">
      <w:pPr>
        <w:ind w:left="1440" w:hanging="1440"/>
      </w:pPr>
      <w:r>
        <w:t>6</w:t>
      </w:r>
      <w:r>
        <w:rPr>
          <w:vertAlign w:val="superscript"/>
        </w:rPr>
        <w:t>th</w:t>
      </w:r>
      <w:r>
        <w:t xml:space="preserve"> edition, ISBN 13:978-0-13-284014-9</w:t>
      </w:r>
    </w:p>
    <w:p w:rsidR="00000000" w:rsidRDefault="00514E7E"/>
    <w:p w:rsidR="00000000" w:rsidRDefault="00514E7E">
      <w:pPr>
        <w:shd w:val="clear" w:color="auto" w:fill="FFF1A8"/>
        <w:ind w:right="120"/>
        <w:rPr>
          <w:b/>
          <w:bCs/>
          <w:color w:val="555555"/>
        </w:rPr>
      </w:pPr>
      <w:r>
        <w:rPr>
          <w:b/>
          <w:bCs/>
          <w:color w:val="555555"/>
        </w:rPr>
        <w:t>O</w:t>
      </w:r>
      <w:r>
        <w:rPr>
          <w:b/>
          <w:bCs/>
          <w:color w:val="555555"/>
        </w:rPr>
        <w:t>n Reserve:</w:t>
      </w:r>
    </w:p>
    <w:p w:rsidR="00000000" w:rsidRDefault="00514E7E">
      <w:pPr>
        <w:shd w:val="clear" w:color="auto" w:fill="FFF1A8"/>
        <w:ind w:right="120"/>
        <w:rPr>
          <w:b/>
          <w:bCs/>
          <w:color w:val="555555"/>
        </w:rPr>
      </w:pPr>
    </w:p>
    <w:p w:rsidR="00000000" w:rsidRDefault="00514E7E">
      <w:pPr>
        <w:shd w:val="clear" w:color="auto" w:fill="FFF1A8"/>
        <w:ind w:right="120"/>
        <w:rPr>
          <w:b/>
          <w:bCs/>
          <w:color w:val="555555"/>
        </w:rPr>
      </w:pPr>
      <w:r>
        <w:rPr>
          <w:b/>
          <w:bCs/>
          <w:color w:val="555555"/>
        </w:rPr>
        <w:t>Course:  CTC450 / Section: 01   - Water &amp; Wastewater Systems</w:t>
      </w:r>
    </w:p>
    <w:p w:rsidR="00000000" w:rsidRDefault="00514E7E">
      <w:pPr>
        <w:shd w:val="clear" w:color="auto" w:fill="FFF1A8"/>
        <w:ind w:right="120"/>
        <w:rPr>
          <w:b/>
          <w:bCs/>
          <w:color w:val="555555"/>
        </w:rPr>
      </w:pPr>
      <w:r>
        <w:rPr>
          <w:b/>
          <w:bCs/>
          <w:color w:val="555555"/>
        </w:rPr>
        <w:t>Book Title:  COMPUTER APPLICATIONS IN HYDRAULIC ENGINEERING</w:t>
      </w:r>
    </w:p>
    <w:p w:rsidR="00000000" w:rsidRDefault="00514E7E">
      <w:pPr>
        <w:shd w:val="clear" w:color="auto" w:fill="FFF1A8"/>
        <w:ind w:right="120"/>
        <w:rPr>
          <w:b/>
          <w:bCs/>
          <w:color w:val="555555"/>
        </w:rPr>
      </w:pPr>
      <w:r>
        <w:rPr>
          <w:b/>
          <w:bCs/>
          <w:color w:val="555555"/>
        </w:rPr>
        <w:t>Available as a book on reserve available at the circulation desk with a call number of: Reserve L#124</w:t>
      </w:r>
    </w:p>
    <w:p w:rsidR="00000000" w:rsidRDefault="00514E7E">
      <w:pPr>
        <w:rPr>
          <w:rFonts w:ascii="Arial" w:hAnsi="Arial" w:cs="Arial"/>
          <w:b/>
          <w:bCs/>
          <w:sz w:val="23"/>
          <w:szCs w:val="23"/>
        </w:rPr>
      </w:pPr>
    </w:p>
    <w:p w:rsidR="00000000" w:rsidRDefault="00514E7E">
      <w:pPr>
        <w:rPr>
          <w:rFonts w:ascii="Arial" w:hAnsi="Arial" w:cs="Arial"/>
          <w:b/>
          <w:color w:val="000080"/>
          <w:u w:val="single"/>
        </w:rPr>
      </w:pPr>
    </w:p>
    <w:p w:rsidR="00000000" w:rsidRDefault="00514E7E">
      <w:pPr>
        <w:rPr>
          <w:rFonts w:ascii="Arial" w:hAnsi="Arial" w:cs="Arial"/>
          <w:b/>
          <w:color w:val="000080"/>
          <w:u w:val="single"/>
        </w:rPr>
      </w:pPr>
    </w:p>
    <w:p w:rsidR="00000000" w:rsidRDefault="00514E7E">
      <w:pPr>
        <w:rPr>
          <w:rFonts w:ascii="Arial" w:hAnsi="Arial" w:cs="Arial"/>
          <w:b/>
          <w:color w:val="000080"/>
          <w:u w:val="single"/>
        </w:rPr>
      </w:pPr>
    </w:p>
    <w:p w:rsidR="00000000" w:rsidRDefault="00514E7E">
      <w:r>
        <w:rPr>
          <w:rFonts w:ascii="Arial" w:hAnsi="Arial" w:cs="Arial"/>
          <w:b/>
          <w:color w:val="000080"/>
          <w:u w:val="single"/>
        </w:rPr>
        <w:t>Office Hours and Contact Info:</w:t>
      </w:r>
      <w:r>
        <w:rPr>
          <w:rFonts w:ascii="Arial" w:hAnsi="Arial" w:cs="Arial"/>
          <w:b/>
          <w:color w:val="000080"/>
          <w:u w:val="single"/>
        </w:rPr>
        <w:br/>
      </w:r>
      <w:r>
        <w:t xml:space="preserve">see </w:t>
      </w:r>
      <w:hyperlink r:id="rId7" w:history="1">
        <w:r>
          <w:rPr>
            <w:rStyle w:val="Hyperlink"/>
          </w:rPr>
          <w:t>https://people.sunyit.edu/~barans/schedule.htm</w:t>
        </w:r>
      </w:hyperlink>
      <w:r>
        <w:tab/>
      </w:r>
      <w:r>
        <w:tab/>
        <w:t xml:space="preserve">Donovan Hall, 1197 </w:t>
      </w:r>
    </w:p>
    <w:p w:rsidR="00000000" w:rsidRDefault="00514E7E">
      <w:r>
        <w:t xml:space="preserve">(Or by appointment)     </w:t>
      </w:r>
      <w:r>
        <w:tab/>
      </w:r>
      <w:r>
        <w:tab/>
      </w:r>
      <w:r>
        <w:tab/>
      </w:r>
      <w:r>
        <w:tab/>
      </w:r>
      <w:r>
        <w:tab/>
        <w:t xml:space="preserve">Phone: (315) 792-7542          </w:t>
      </w:r>
      <w:r>
        <w:br/>
        <w:t>Email:</w:t>
      </w:r>
      <w:r>
        <w:tab/>
        <w:t xml:space="preserve"> Jayne.Baran@sunypoly.</w:t>
      </w:r>
      <w:r>
        <w:t>edu</w:t>
      </w:r>
      <w:r>
        <w:tab/>
      </w:r>
    </w:p>
    <w:p w:rsidR="00000000" w:rsidRDefault="00514E7E">
      <w:pPr>
        <w:rPr>
          <w:rFonts w:ascii="Arial" w:hAnsi="Arial" w:cs="Arial"/>
          <w:b/>
          <w:color w:val="000080"/>
          <w:u w:val="single"/>
        </w:rPr>
      </w:pPr>
    </w:p>
    <w:p w:rsidR="00000000" w:rsidRDefault="00514E7E">
      <w:pPr>
        <w:rPr>
          <w:rFonts w:ascii="Arial" w:hAnsi="Arial" w:cs="Arial"/>
          <w:b/>
          <w:color w:val="000080"/>
          <w:u w:val="single"/>
        </w:rPr>
      </w:pPr>
      <w:r>
        <w:rPr>
          <w:rFonts w:ascii="Arial" w:hAnsi="Arial" w:cs="Arial"/>
          <w:b/>
          <w:color w:val="000080"/>
          <w:u w:val="single"/>
        </w:rPr>
        <w:br w:type="page"/>
      </w:r>
    </w:p>
    <w:p w:rsidR="00000000" w:rsidRDefault="00514E7E">
      <w:pPr>
        <w:rPr>
          <w:rFonts w:ascii="Arial" w:hAnsi="Arial" w:cs="Arial"/>
          <w:b/>
          <w:color w:val="000080"/>
          <w:u w:val="single"/>
        </w:rPr>
      </w:pPr>
      <w:r>
        <w:rPr>
          <w:rFonts w:ascii="Arial" w:hAnsi="Arial" w:cs="Arial"/>
          <w:b/>
          <w:color w:val="000080"/>
          <w:u w:val="single"/>
        </w:rPr>
        <w:lastRenderedPageBreak/>
        <w:t>Topics and Projects:</w:t>
      </w:r>
      <w:r>
        <w:rPr>
          <w:rFonts w:ascii="Arial" w:hAnsi="Arial" w:cs="Arial"/>
          <w:b/>
          <w:color w:val="000080"/>
          <w:u w:val="single"/>
        </w:rPr>
        <w:br/>
      </w:r>
    </w:p>
    <w:tbl>
      <w:tblPr>
        <w:tblW w:w="10203" w:type="dxa"/>
        <w:shd w:val="clear" w:color="auto" w:fill="CCECFF"/>
        <w:tblLook w:val="04A0" w:firstRow="1" w:lastRow="0" w:firstColumn="1" w:lastColumn="0" w:noHBand="0" w:noVBand="1"/>
      </w:tblPr>
      <w:tblGrid>
        <w:gridCol w:w="1145"/>
        <w:gridCol w:w="3777"/>
        <w:gridCol w:w="1260"/>
        <w:gridCol w:w="4021"/>
      </w:tblGrid>
      <w:tr w:rsidR="00000000">
        <w:trPr>
          <w:trHeight w:val="315"/>
        </w:trPr>
        <w:tc>
          <w:tcPr>
            <w:tcW w:w="1145" w:type="dxa"/>
            <w:shd w:val="clear" w:color="auto" w:fill="CCECFF"/>
            <w:noWrap/>
            <w:vAlign w:val="bottom"/>
            <w:hideMark/>
          </w:tcPr>
          <w:p w:rsidR="00000000" w:rsidRDefault="00514E7E">
            <w:pPr>
              <w:rPr>
                <w:rFonts w:ascii="Arial" w:hAnsi="Arial" w:cs="Arial"/>
                <w:b/>
                <w:bCs/>
              </w:rPr>
            </w:pPr>
            <w:r>
              <w:rPr>
                <w:rFonts w:ascii="Arial" w:hAnsi="Arial" w:cs="Arial"/>
                <w:b/>
                <w:bCs/>
              </w:rPr>
              <w:t>Topics:</w:t>
            </w:r>
          </w:p>
        </w:tc>
        <w:tc>
          <w:tcPr>
            <w:tcW w:w="3777" w:type="dxa"/>
            <w:shd w:val="clear" w:color="auto" w:fill="CCECFF"/>
            <w:noWrap/>
            <w:vAlign w:val="bottom"/>
            <w:hideMark/>
          </w:tcPr>
          <w:p w:rsidR="00000000" w:rsidRDefault="00514E7E">
            <w:pPr>
              <w:rPr>
                <w:rFonts w:ascii="Arial" w:hAnsi="Arial" w:cs="Arial"/>
                <w:b/>
                <w:bCs/>
              </w:rPr>
            </w:pPr>
            <w:r>
              <w:rPr>
                <w:rFonts w:ascii="Arial" w:hAnsi="Arial" w:cs="Arial"/>
                <w:b/>
                <w:bCs/>
              </w:rPr>
              <w:t>Description</w:t>
            </w:r>
          </w:p>
        </w:tc>
        <w:tc>
          <w:tcPr>
            <w:tcW w:w="1260" w:type="dxa"/>
            <w:shd w:val="clear" w:color="auto" w:fill="CCECFF"/>
            <w:vAlign w:val="bottom"/>
            <w:hideMark/>
          </w:tcPr>
          <w:p w:rsidR="00000000" w:rsidRDefault="00514E7E">
            <w:pPr>
              <w:jc w:val="center"/>
              <w:rPr>
                <w:rFonts w:ascii="Arial" w:hAnsi="Arial" w:cs="Arial"/>
                <w:b/>
                <w:bCs/>
              </w:rPr>
            </w:pPr>
            <w:r>
              <w:rPr>
                <w:rFonts w:ascii="Arial" w:hAnsi="Arial" w:cs="Arial"/>
                <w:b/>
                <w:bCs/>
              </w:rPr>
              <w:t>Hrs</w:t>
            </w:r>
          </w:p>
        </w:tc>
        <w:tc>
          <w:tcPr>
            <w:tcW w:w="4021" w:type="dxa"/>
            <w:shd w:val="clear" w:color="auto" w:fill="CCECFF"/>
            <w:noWrap/>
            <w:vAlign w:val="bottom"/>
            <w:hideMark/>
          </w:tcPr>
          <w:p w:rsidR="00000000" w:rsidRDefault="00514E7E">
            <w:pPr>
              <w:rPr>
                <w:rFonts w:ascii="Arial" w:hAnsi="Arial" w:cs="Arial"/>
                <w:b/>
                <w:bCs/>
              </w:rPr>
            </w:pPr>
            <w:r>
              <w:rPr>
                <w:rFonts w:ascii="Arial" w:hAnsi="Arial" w:cs="Arial"/>
                <w:b/>
                <w:bCs/>
              </w:rPr>
              <w:t>Assignments/Projects</w:t>
            </w:r>
          </w:p>
        </w:tc>
      </w:tr>
      <w:tr w:rsidR="00000000">
        <w:trPr>
          <w:trHeight w:val="117"/>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1</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Introduction</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Review/Download Bentley Software</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Chemistry    </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3</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Biology</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4</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Hydraulics &amp; Hydrology</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16</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Software Application Project</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5</w:t>
            </w:r>
          </w:p>
        </w:tc>
        <w:tc>
          <w:tcPr>
            <w:tcW w:w="3777" w:type="dxa"/>
            <w:shd w:val="clear" w:color="auto" w:fill="CCECFF"/>
            <w:noWrap/>
            <w:vAlign w:val="bottom"/>
            <w:hideMark/>
          </w:tcPr>
          <w:p w:rsidR="00000000" w:rsidRDefault="00514E7E">
            <w:pPr>
              <w:rPr>
                <w:rFonts w:ascii="Arial" w:hAnsi="Arial" w:cs="Arial"/>
                <w:bCs/>
                <w:sz w:val="20"/>
                <w:szCs w:val="20"/>
              </w:rPr>
            </w:pPr>
            <w:r>
              <w:rPr>
                <w:rFonts w:ascii="Arial" w:hAnsi="Arial" w:cs="Arial"/>
                <w:bCs/>
                <w:sz w:val="20"/>
                <w:szCs w:val="20"/>
              </w:rPr>
              <w:t>Water Quality</w:t>
            </w:r>
          </w:p>
        </w:tc>
        <w:tc>
          <w:tcPr>
            <w:tcW w:w="1260" w:type="dxa"/>
            <w:shd w:val="clear" w:color="auto" w:fill="CCECFF"/>
            <w:vAlign w:val="bottom"/>
            <w:hideMark/>
          </w:tcPr>
          <w:p w:rsidR="00000000" w:rsidRDefault="00514E7E">
            <w:pPr>
              <w:jc w:val="center"/>
              <w:rPr>
                <w:rFonts w:ascii="Arial" w:hAnsi="Arial" w:cs="Arial"/>
                <w:bCs/>
                <w:sz w:val="20"/>
                <w:szCs w:val="20"/>
              </w:rPr>
            </w:pPr>
            <w:r>
              <w:rPr>
                <w:rFonts w:ascii="Arial" w:hAnsi="Arial" w:cs="Arial"/>
                <w:bCs/>
                <w:sz w:val="20"/>
                <w:szCs w:val="20"/>
              </w:rPr>
              <w:t>2</w:t>
            </w:r>
          </w:p>
        </w:tc>
        <w:tc>
          <w:tcPr>
            <w:tcW w:w="4021" w:type="dxa"/>
            <w:shd w:val="clear" w:color="auto" w:fill="CCECFF"/>
            <w:noWrap/>
            <w:vAlign w:val="bottom"/>
            <w:hideMark/>
          </w:tcPr>
          <w:p w:rsidR="00000000" w:rsidRDefault="00514E7E">
            <w:pPr>
              <w:rPr>
                <w:rFonts w:ascii="Arial" w:hAnsi="Arial" w:cs="Arial"/>
                <w:bCs/>
                <w:sz w:val="20"/>
                <w:szCs w:val="20"/>
              </w:rPr>
            </w:pPr>
            <w:r>
              <w:rPr>
                <w:rFonts w:ascii="Arial" w:hAnsi="Arial" w:cs="Arial"/>
                <w:bCs/>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bCs/>
                <w:sz w:val="20"/>
                <w:szCs w:val="20"/>
              </w:rPr>
            </w:pPr>
            <w:r>
              <w:rPr>
                <w:rFonts w:ascii="Arial" w:hAnsi="Arial" w:cs="Arial"/>
                <w:bCs/>
                <w:sz w:val="20"/>
                <w:szCs w:val="20"/>
              </w:rPr>
              <w:t>6</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Water </w:t>
            </w:r>
            <w:r>
              <w:rPr>
                <w:rFonts w:ascii="Arial" w:hAnsi="Arial" w:cs="Arial"/>
                <w:sz w:val="20"/>
                <w:szCs w:val="20"/>
              </w:rPr>
              <w:t>Distribution Systems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b/>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7</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Water Processing &amp; Operations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4</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8</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Wastewater Flows &amp; Characteristics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9</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Wastewater Collection Systems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10</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Wastewater Processing</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11</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Wastewater Operations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12</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Advanced Wastewater Treatment</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13</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Water Reuse</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w:t>
            </w:r>
          </w:p>
        </w:tc>
      </w:tr>
      <w:tr w:rsidR="00000000">
        <w:trPr>
          <w:trHeight w:val="255"/>
        </w:trPr>
        <w:tc>
          <w:tcPr>
            <w:tcW w:w="1145"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14</w:t>
            </w: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Sustainability and Carbon Footprint</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Sustainability Report &amp; Presenatation</w:t>
            </w:r>
          </w:p>
        </w:tc>
      </w:tr>
      <w:tr w:rsidR="00000000">
        <w:trPr>
          <w:trHeight w:val="255"/>
        </w:trPr>
        <w:tc>
          <w:tcPr>
            <w:tcW w:w="1145" w:type="dxa"/>
            <w:shd w:val="clear" w:color="auto" w:fill="CCECFF"/>
            <w:noWrap/>
            <w:vAlign w:val="bottom"/>
          </w:tcPr>
          <w:p w:rsidR="00000000" w:rsidRDefault="00514E7E">
            <w:pPr>
              <w:jc w:val="center"/>
              <w:rPr>
                <w:rFonts w:ascii="Arial" w:hAnsi="Arial" w:cs="Arial"/>
                <w:sz w:val="20"/>
                <w:szCs w:val="20"/>
              </w:rPr>
            </w:pPr>
          </w:p>
        </w:tc>
        <w:tc>
          <w:tcPr>
            <w:tcW w:w="3777"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Project Presentations/Activities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6</w:t>
            </w:r>
          </w:p>
        </w:tc>
        <w:tc>
          <w:tcPr>
            <w:tcW w:w="4021" w:type="dxa"/>
            <w:shd w:val="clear" w:color="auto" w:fill="CCECFF"/>
            <w:noWrap/>
            <w:vAlign w:val="bottom"/>
          </w:tcPr>
          <w:p w:rsidR="00000000" w:rsidRDefault="00514E7E">
            <w:pPr>
              <w:rPr>
                <w:rFonts w:ascii="Arial" w:hAnsi="Arial" w:cs="Arial"/>
                <w:sz w:val="20"/>
                <w:szCs w:val="20"/>
              </w:rPr>
            </w:pPr>
          </w:p>
        </w:tc>
      </w:tr>
      <w:tr w:rsidR="00000000">
        <w:trPr>
          <w:trHeight w:val="255"/>
        </w:trPr>
        <w:tc>
          <w:tcPr>
            <w:tcW w:w="1145" w:type="dxa"/>
            <w:shd w:val="clear" w:color="auto" w:fill="CCECFF"/>
            <w:noWrap/>
            <w:vAlign w:val="bottom"/>
          </w:tcPr>
          <w:p w:rsidR="00000000" w:rsidRDefault="00514E7E">
            <w:pPr>
              <w:jc w:val="center"/>
              <w:rPr>
                <w:rFonts w:ascii="Arial" w:hAnsi="Arial" w:cs="Arial"/>
                <w:b/>
                <w:sz w:val="20"/>
                <w:szCs w:val="20"/>
              </w:rPr>
            </w:pPr>
          </w:p>
        </w:tc>
        <w:tc>
          <w:tcPr>
            <w:tcW w:w="3777" w:type="dxa"/>
            <w:shd w:val="clear" w:color="auto" w:fill="CCECFF"/>
            <w:noWrap/>
            <w:vAlign w:val="bottom"/>
            <w:hideMark/>
          </w:tcPr>
          <w:p w:rsidR="00000000" w:rsidRDefault="00514E7E">
            <w:pPr>
              <w:rPr>
                <w:rFonts w:ascii="Arial" w:hAnsi="Arial" w:cs="Arial"/>
                <w:b/>
                <w:sz w:val="20"/>
                <w:szCs w:val="20"/>
              </w:rPr>
            </w:pPr>
            <w:r>
              <w:rPr>
                <w:rFonts w:ascii="Arial" w:hAnsi="Arial" w:cs="Arial"/>
                <w:sz w:val="20"/>
                <w:szCs w:val="20"/>
              </w:rPr>
              <w:t>Mid-Term/Final/Reviews</w:t>
            </w:r>
          </w:p>
        </w:tc>
        <w:tc>
          <w:tcPr>
            <w:tcW w:w="1260" w:type="dxa"/>
            <w:shd w:val="clear" w:color="auto" w:fill="CCECFF"/>
            <w:vAlign w:val="bottom"/>
            <w:hideMark/>
          </w:tcPr>
          <w:p w:rsidR="00000000" w:rsidRDefault="00514E7E">
            <w:pPr>
              <w:jc w:val="center"/>
              <w:rPr>
                <w:rFonts w:ascii="Arial" w:hAnsi="Arial" w:cs="Arial"/>
                <w:sz w:val="20"/>
                <w:szCs w:val="20"/>
              </w:rPr>
            </w:pPr>
            <w:r>
              <w:rPr>
                <w:rFonts w:ascii="Arial" w:hAnsi="Arial" w:cs="Arial"/>
                <w:sz w:val="20"/>
                <w:szCs w:val="20"/>
              </w:rPr>
              <w:t>8</w:t>
            </w:r>
          </w:p>
        </w:tc>
        <w:tc>
          <w:tcPr>
            <w:tcW w:w="4021" w:type="dxa"/>
            <w:shd w:val="clear" w:color="auto" w:fill="CCECFF"/>
            <w:noWrap/>
            <w:vAlign w:val="bottom"/>
          </w:tcPr>
          <w:p w:rsidR="00000000" w:rsidRDefault="00514E7E">
            <w:pPr>
              <w:rPr>
                <w:rFonts w:ascii="Arial" w:hAnsi="Arial" w:cs="Arial"/>
                <w:b/>
                <w:sz w:val="20"/>
                <w:szCs w:val="20"/>
              </w:rPr>
            </w:pPr>
          </w:p>
        </w:tc>
      </w:tr>
    </w:tbl>
    <w:p w:rsidR="00000000" w:rsidRDefault="00514E7E">
      <w:pPr>
        <w:pStyle w:val="NormalWeb"/>
        <w:shd w:val="clear" w:color="auto" w:fill="FFFFFF"/>
        <w:spacing w:line="236" w:lineRule="atLeast"/>
        <w:rPr>
          <w:rFonts w:ascii="Arial" w:hAnsi="Arial" w:cs="Arial"/>
          <w:b/>
          <w:color w:val="333399"/>
          <w:u w:val="single"/>
        </w:rPr>
      </w:pPr>
      <w:r>
        <w:rPr>
          <w:rFonts w:ascii="Arial" w:hAnsi="Arial" w:cs="Arial"/>
          <w:b/>
          <w:color w:val="333399"/>
          <w:u w:val="single"/>
        </w:rPr>
        <w:t>Methods of Evaluation:</w:t>
      </w:r>
    </w:p>
    <w:p w:rsidR="00000000" w:rsidRDefault="00514E7E">
      <w:pPr>
        <w:rPr>
          <w:rFonts w:ascii="Arial" w:hAnsi="Arial" w:cs="Arial"/>
          <w:b/>
          <w:bCs/>
        </w:rPr>
      </w:pPr>
      <w:r>
        <w:rPr>
          <w:rFonts w:ascii="Arial" w:hAnsi="Arial" w:cs="Arial"/>
          <w:b/>
          <w:bCs/>
        </w:rPr>
        <w:t>Homework:</w:t>
      </w:r>
    </w:p>
    <w:p w:rsidR="00000000" w:rsidRDefault="00514E7E">
      <w:r>
        <w:t>Homework shall be typed or neatly handwritten in pencil on engineering graph paper</w:t>
      </w:r>
      <w:r>
        <w:rPr>
          <w:rFonts w:ascii="Arial" w:hAnsi="Arial" w:cs="Arial"/>
          <w:b/>
          <w:bCs/>
        </w:rPr>
        <w:t>.</w:t>
      </w:r>
      <w:r>
        <w:t xml:space="preserve">  Submit via PDF on Blackboard.   There is no provision for make-up of homework assignments.  A missed homework assignment is a zero and will be factored into the final grad</w:t>
      </w:r>
      <w:r>
        <w:t>e.</w:t>
      </w:r>
    </w:p>
    <w:p w:rsidR="00000000" w:rsidRDefault="00514E7E">
      <w:pPr>
        <w:rPr>
          <w:rFonts w:ascii="Arial" w:hAnsi="Arial" w:cs="Arial"/>
          <w:b/>
          <w:bCs/>
        </w:rPr>
      </w:pPr>
    </w:p>
    <w:p w:rsidR="00000000" w:rsidRDefault="00514E7E">
      <w:pPr>
        <w:rPr>
          <w:rFonts w:ascii="Arial" w:hAnsi="Arial" w:cs="Arial"/>
          <w:b/>
          <w:bCs/>
        </w:rPr>
      </w:pPr>
      <w:r>
        <w:rPr>
          <w:rFonts w:ascii="Arial" w:hAnsi="Arial" w:cs="Arial"/>
          <w:b/>
          <w:bCs/>
        </w:rPr>
        <w:t>Quizzes:</w:t>
      </w:r>
    </w:p>
    <w:p w:rsidR="00000000" w:rsidRDefault="00514E7E">
      <w:pPr>
        <w:rPr>
          <w:rFonts w:ascii="Arial" w:hAnsi="Arial" w:cs="Arial"/>
          <w:b/>
          <w:bCs/>
        </w:rPr>
      </w:pPr>
      <w:r>
        <w:t xml:space="preserve">Online quizzes are avaialabe on Blackboard as asynchronous activities </w:t>
      </w:r>
    </w:p>
    <w:p w:rsidR="00000000" w:rsidRDefault="00514E7E">
      <w:pPr>
        <w:rPr>
          <w:rFonts w:ascii="Arial" w:hAnsi="Arial" w:cs="Arial"/>
          <w:b/>
          <w:bCs/>
        </w:rPr>
      </w:pPr>
    </w:p>
    <w:p w:rsidR="00000000" w:rsidRDefault="00514E7E">
      <w:pPr>
        <w:rPr>
          <w:rFonts w:ascii="Arial" w:hAnsi="Arial" w:cs="Arial"/>
          <w:b/>
          <w:bCs/>
        </w:rPr>
      </w:pPr>
      <w:r>
        <w:rPr>
          <w:rFonts w:ascii="Arial" w:hAnsi="Arial" w:cs="Arial"/>
          <w:b/>
          <w:bCs/>
        </w:rPr>
        <w:t>Examinations:</w:t>
      </w:r>
    </w:p>
    <w:p w:rsidR="00000000" w:rsidRDefault="00514E7E">
      <w:r>
        <w:t>There will be one midterm and one final exam scheduled during the semester. Students are expected to take the exams at the scheduled times.  Generally, no ma</w:t>
      </w:r>
      <w:r>
        <w:t xml:space="preserve">ke-up test will be given except for medical emergencies or other valid reason for which prior approval has been obtained.  </w:t>
      </w:r>
    </w:p>
    <w:p w:rsidR="00000000" w:rsidRDefault="00514E7E">
      <w:pPr>
        <w:rPr>
          <w:rFonts w:ascii="Arial" w:hAnsi="Arial" w:cs="Arial"/>
          <w:b/>
          <w:bCs/>
        </w:rPr>
      </w:pPr>
    </w:p>
    <w:p w:rsidR="00000000" w:rsidRDefault="00514E7E">
      <w:pPr>
        <w:rPr>
          <w:rFonts w:ascii="Arial" w:hAnsi="Arial" w:cs="Arial"/>
          <w:b/>
          <w:bCs/>
        </w:rPr>
      </w:pPr>
      <w:r>
        <w:rPr>
          <w:rFonts w:ascii="Arial" w:hAnsi="Arial" w:cs="Arial"/>
          <w:b/>
          <w:bCs/>
        </w:rPr>
        <w:t>Projects:</w:t>
      </w:r>
    </w:p>
    <w:p w:rsidR="00000000" w:rsidRDefault="00514E7E">
      <w:r>
        <w:t>Applied design projects and reports emphasize teamwork and communication, as well as the application of industry-standard</w:t>
      </w:r>
      <w:r>
        <w:t xml:space="preserve"> hydraulic, word-processing, spreadsheet, and presentation software.  The need for professionalism and excellence is reinforced through the requirement for assignments to be completed on time and in a neat and well-organized manner</w:t>
      </w:r>
    </w:p>
    <w:p w:rsidR="00000000" w:rsidRDefault="00514E7E"/>
    <w:p w:rsidR="00000000" w:rsidRDefault="00514E7E">
      <w:pPr>
        <w:rPr>
          <w:rFonts w:ascii="Arial" w:hAnsi="Arial" w:cs="Arial"/>
          <w:b/>
          <w:bCs/>
        </w:rPr>
      </w:pPr>
      <w:r>
        <w:rPr>
          <w:rFonts w:ascii="Arial" w:hAnsi="Arial" w:cs="Arial"/>
          <w:b/>
          <w:bCs/>
        </w:rPr>
        <w:t>Attendance/Participatio</w:t>
      </w:r>
      <w:r>
        <w:rPr>
          <w:rFonts w:ascii="Arial" w:hAnsi="Arial" w:cs="Arial"/>
          <w:b/>
          <w:bCs/>
        </w:rPr>
        <w:t xml:space="preserve">n:  </w:t>
      </w:r>
    </w:p>
    <w:p w:rsidR="00000000" w:rsidRDefault="00514E7E">
      <w:r>
        <w:t>Students are expected to attend every synchronous class period and have homework and project assignments completed and ready to present unless arrangements have been made with the instructor.   A missed class does not excuse responsibility for the wor</w:t>
      </w:r>
      <w:r>
        <w:t xml:space="preserve">k covered in class and the homework assignments.  Students will be held to the standards set forth in the </w:t>
      </w:r>
      <w:r>
        <w:rPr>
          <w:i/>
          <w:iCs/>
          <w:u w:val="single"/>
        </w:rPr>
        <w:t>Student Handbook,</w:t>
      </w:r>
      <w:r>
        <w:t xml:space="preserve"> stated as the College’s “Code of Academic Conduct.”  </w:t>
      </w:r>
    </w:p>
    <w:p w:rsidR="00000000" w:rsidRDefault="00514E7E">
      <w:r>
        <w:br w:type="page"/>
      </w:r>
    </w:p>
    <w:tbl>
      <w:tblPr>
        <w:tblW w:w="5402" w:type="dxa"/>
        <w:jc w:val="center"/>
        <w:shd w:val="clear" w:color="auto" w:fill="CCECFF"/>
        <w:tblLook w:val="04A0" w:firstRow="1" w:lastRow="0" w:firstColumn="1" w:lastColumn="0" w:noHBand="0" w:noVBand="1"/>
      </w:tblPr>
      <w:tblGrid>
        <w:gridCol w:w="3708"/>
        <w:gridCol w:w="1694"/>
      </w:tblGrid>
      <w:tr w:rsidR="00000000">
        <w:trPr>
          <w:trHeight w:val="281"/>
          <w:jc w:val="center"/>
        </w:trPr>
        <w:tc>
          <w:tcPr>
            <w:tcW w:w="3708"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 xml:space="preserve">Homework </w:t>
            </w:r>
          </w:p>
        </w:tc>
        <w:tc>
          <w:tcPr>
            <w:tcW w:w="1694"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Asynchronous Activities</w:t>
            </w:r>
          </w:p>
        </w:tc>
        <w:tc>
          <w:tcPr>
            <w:tcW w:w="1694" w:type="dxa"/>
            <w:shd w:val="clear" w:color="auto" w:fill="CCECFF"/>
            <w:noWrap/>
            <w:vAlign w:val="bottom"/>
            <w:hideMark/>
          </w:tcPr>
          <w:p w:rsidR="00000000" w:rsidRDefault="00514E7E">
            <w:pPr>
              <w:rPr>
                <w:rFonts w:ascii="Arial" w:hAnsi="Arial" w:cs="Arial"/>
                <w:sz w:val="20"/>
                <w:szCs w:val="20"/>
              </w:rPr>
            </w:pPr>
            <w:r>
              <w:rPr>
                <w:rFonts w:ascii="Arial" w:hAnsi="Arial" w:cs="Arial"/>
                <w:sz w:val="20"/>
                <w:szCs w:val="20"/>
              </w:rPr>
              <w:t xml:space="preserve">          25%</w:t>
            </w:r>
          </w:p>
        </w:tc>
      </w:tr>
      <w:tr w:rsidR="00000000">
        <w:trPr>
          <w:trHeight w:val="281"/>
          <w:jc w:val="center"/>
        </w:trPr>
        <w:tc>
          <w:tcPr>
            <w:tcW w:w="3708"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Mid-Term Exam</w:t>
            </w:r>
          </w:p>
        </w:tc>
        <w:tc>
          <w:tcPr>
            <w:tcW w:w="1694"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Final Exam</w:t>
            </w:r>
          </w:p>
        </w:tc>
        <w:tc>
          <w:tcPr>
            <w:tcW w:w="1694" w:type="dxa"/>
            <w:shd w:val="clear" w:color="auto" w:fill="CCECFF"/>
            <w:noWrap/>
            <w:vAlign w:val="bottom"/>
            <w:hideMark/>
          </w:tcPr>
          <w:p w:rsidR="00000000" w:rsidRDefault="00514E7E">
            <w:pPr>
              <w:jc w:val="center"/>
              <w:rPr>
                <w:rFonts w:ascii="Arial" w:hAnsi="Arial" w:cs="Arial"/>
                <w:sz w:val="20"/>
                <w:szCs w:val="20"/>
              </w:rPr>
            </w:pPr>
            <w:r>
              <w:rPr>
                <w:rFonts w:ascii="Arial" w:hAnsi="Arial" w:cs="Arial"/>
                <w:sz w:val="20"/>
                <w:szCs w:val="20"/>
              </w:rPr>
              <w:t>25%</w:t>
            </w:r>
          </w:p>
        </w:tc>
      </w:tr>
      <w:tr w:rsidR="00000000">
        <w:trPr>
          <w:trHeight w:val="281"/>
          <w:jc w:val="center"/>
        </w:trPr>
        <w:tc>
          <w:tcPr>
            <w:tcW w:w="3708" w:type="dxa"/>
            <w:shd w:val="clear" w:color="auto" w:fill="CCECFF"/>
            <w:noWrap/>
            <w:vAlign w:val="bottom"/>
            <w:hideMark/>
          </w:tcPr>
          <w:p w:rsidR="00000000" w:rsidRDefault="00514E7E">
            <w:pPr>
              <w:jc w:val="center"/>
              <w:rPr>
                <w:rFonts w:ascii="Arial" w:hAnsi="Arial" w:cs="Arial"/>
                <w:b/>
                <w:sz w:val="20"/>
                <w:szCs w:val="20"/>
              </w:rPr>
            </w:pPr>
            <w:r>
              <w:rPr>
                <w:rFonts w:ascii="Arial" w:hAnsi="Arial" w:cs="Arial"/>
                <w:b/>
                <w:sz w:val="20"/>
                <w:szCs w:val="20"/>
              </w:rPr>
              <w:t>TOTAL</w:t>
            </w:r>
          </w:p>
        </w:tc>
        <w:tc>
          <w:tcPr>
            <w:tcW w:w="1694" w:type="dxa"/>
            <w:shd w:val="clear" w:color="auto" w:fill="CCECFF"/>
            <w:noWrap/>
            <w:vAlign w:val="bottom"/>
            <w:hideMark/>
          </w:tcPr>
          <w:p w:rsidR="00000000" w:rsidRDefault="00514E7E">
            <w:pPr>
              <w:jc w:val="center"/>
              <w:rPr>
                <w:rFonts w:ascii="Arial" w:hAnsi="Arial" w:cs="Arial"/>
                <w:b/>
                <w:sz w:val="20"/>
                <w:szCs w:val="20"/>
              </w:rPr>
            </w:pPr>
            <w:r>
              <w:rPr>
                <w:rFonts w:ascii="Arial" w:hAnsi="Arial" w:cs="Arial"/>
                <w:b/>
                <w:sz w:val="20"/>
                <w:szCs w:val="20"/>
              </w:rPr>
              <w:t>100%</w:t>
            </w:r>
          </w:p>
        </w:tc>
      </w:tr>
    </w:tbl>
    <w:p w:rsidR="00000000" w:rsidRDefault="00514E7E">
      <w:pPr>
        <w:rPr>
          <w:rFonts w:ascii="Arial" w:hAnsi="Arial" w:cs="Arial"/>
          <w:b/>
          <w:color w:val="333399"/>
          <w:u w:val="single"/>
        </w:rPr>
      </w:pPr>
    </w:p>
    <w:p w:rsidR="00000000" w:rsidRDefault="00514E7E">
      <w:pPr>
        <w:pStyle w:val="NormalWeb"/>
        <w:shd w:val="clear" w:color="auto" w:fill="FFFFFF"/>
        <w:spacing w:after="0" w:afterAutospacing="0" w:line="236" w:lineRule="atLeast"/>
        <w:rPr>
          <w:rFonts w:ascii="Arial" w:hAnsi="Arial" w:cs="Arial"/>
          <w:b/>
          <w:color w:val="333399"/>
          <w:u w:val="single"/>
        </w:rPr>
      </w:pPr>
      <w:r>
        <w:rPr>
          <w:rFonts w:ascii="Arial" w:hAnsi="Arial" w:cs="Arial"/>
          <w:b/>
          <w:color w:val="333399"/>
          <w:u w:val="single"/>
        </w:rPr>
        <w:t xml:space="preserve">Code of Conduct:  </w:t>
      </w:r>
    </w:p>
    <w:p w:rsidR="00000000" w:rsidRDefault="00514E7E"/>
    <w:p w:rsidR="00000000" w:rsidRDefault="00514E7E">
      <w:r>
        <w:t>Students are referred to the Student Handbook for SUNY Poly’s current Code of Academic Conduct regarding plagiarism and other inappropriate academic activities.</w:t>
      </w:r>
    </w:p>
    <w:p w:rsidR="00000000" w:rsidRDefault="00514E7E">
      <w:pPr>
        <w:pStyle w:val="NormalWeb"/>
        <w:shd w:val="clear" w:color="auto" w:fill="FFFFFF"/>
        <w:spacing w:after="0" w:afterAutospacing="0" w:line="236" w:lineRule="atLeast"/>
        <w:rPr>
          <w:rFonts w:ascii="Arial" w:hAnsi="Arial" w:cs="Arial"/>
          <w:b/>
          <w:color w:val="333399"/>
          <w:u w:val="single"/>
        </w:rPr>
      </w:pPr>
      <w:r>
        <w:rPr>
          <w:rFonts w:ascii="Arial" w:hAnsi="Arial" w:cs="Arial"/>
          <w:b/>
          <w:color w:val="333399"/>
          <w:u w:val="single"/>
        </w:rPr>
        <w:t xml:space="preserve">Cancellation of Classes:  </w:t>
      </w:r>
    </w:p>
    <w:p w:rsidR="00000000" w:rsidRDefault="00514E7E"/>
    <w:p w:rsidR="00000000" w:rsidRDefault="00514E7E">
      <w:r>
        <w:t xml:space="preserve">SUNY Poly has a 24-hour hotline to inform students, faculty and staff when severe winter weather prompts the cancellation of all classes.  On-campus, you can call the “Snowline” by dialing ext. 7669 (“SNOW”). Off-campus, Snowline can be reached by calling </w:t>
      </w:r>
      <w:r>
        <w:t xml:space="preserve">315-792-7385.  Snowline cards are available at various locations on campus. </w:t>
      </w:r>
    </w:p>
    <w:p w:rsidR="00000000" w:rsidRDefault="00514E7E"/>
    <w:p w:rsidR="00000000" w:rsidRDefault="00514E7E">
      <w:pPr>
        <w:rPr>
          <w:b/>
        </w:rPr>
      </w:pPr>
      <w:r>
        <w:t>In the event of severe weather, Snowline will announce only the cancellation of ALL classes. The cancellation of all classes will also be posted online, at sunypoly.edu, and will</w:t>
      </w:r>
      <w:r>
        <w:t xml:space="preserve"> be broadcast on radio and television stations in the Utica-Rome, Syracuse, and Albany areas.  Individual class cancellations are always available at sunypoly.edu/apps/canceled classes.</w:t>
      </w:r>
    </w:p>
    <w:p w:rsidR="00000000" w:rsidRDefault="00514E7E">
      <w:pPr>
        <w:rPr>
          <w:rFonts w:ascii="Arial" w:hAnsi="Arial" w:cs="Arial"/>
          <w:b/>
          <w:color w:val="333399"/>
          <w:u w:val="single"/>
        </w:rPr>
      </w:pPr>
    </w:p>
    <w:p w:rsidR="00000000" w:rsidRDefault="00514E7E">
      <w:pPr>
        <w:rPr>
          <w:rFonts w:ascii="Arial" w:hAnsi="Arial" w:cs="Arial"/>
          <w:b/>
          <w:color w:val="333399"/>
          <w:u w:val="single"/>
        </w:rPr>
      </w:pPr>
      <w:r>
        <w:rPr>
          <w:rFonts w:ascii="Arial" w:hAnsi="Arial" w:cs="Arial"/>
          <w:b/>
          <w:color w:val="333399"/>
          <w:u w:val="single"/>
        </w:rPr>
        <w:t>COVID-19</w:t>
      </w:r>
    </w:p>
    <w:p w:rsidR="00000000" w:rsidRDefault="00514E7E">
      <w:pPr>
        <w:shd w:val="clear" w:color="auto" w:fill="FFFFFF"/>
        <w:rPr>
          <w:rFonts w:ascii="Arial" w:hAnsi="Arial" w:cs="Arial"/>
          <w:color w:val="222222"/>
          <w:sz w:val="22"/>
          <w:szCs w:val="22"/>
        </w:rPr>
      </w:pPr>
    </w:p>
    <w:p w:rsidR="00000000" w:rsidRDefault="00514E7E">
      <w:pPr>
        <w:shd w:val="clear" w:color="auto" w:fill="FFFFFF"/>
        <w:rPr>
          <w:color w:val="222222"/>
        </w:rPr>
      </w:pPr>
      <w:r>
        <w:rPr>
          <w:color w:val="222222"/>
          <w:sz w:val="22"/>
          <w:szCs w:val="22"/>
        </w:rPr>
        <w:t xml:space="preserve">"Students are referred to regulations, rules, policies and </w:t>
      </w:r>
      <w:r>
        <w:rPr>
          <w:color w:val="222222"/>
          <w:sz w:val="22"/>
          <w:szCs w:val="22"/>
        </w:rPr>
        <w:t>standards specified in SUNY Polytechnic's current Student Handbook and Student Code of Conduct (</w:t>
      </w:r>
      <w:hyperlink r:id="rId8" w:tgtFrame="_blank" w:history="1">
        <w:r>
          <w:rPr>
            <w:rStyle w:val="Hyperlink"/>
            <w:color w:val="1155CC"/>
            <w:sz w:val="22"/>
            <w:szCs w:val="22"/>
          </w:rPr>
          <w:t>https://sunypoly.edu/student-life/community-standards.html</w:t>
        </w:r>
      </w:hyperlink>
      <w:r>
        <w:rPr>
          <w:color w:val="222222"/>
          <w:sz w:val="22"/>
          <w:szCs w:val="22"/>
        </w:rPr>
        <w:t>). They apply to all student conduct relevant to the operations of this course. This includes, among others, 1) academic integrity, 2) conduct in the classroom / lab and on the course website, and 3) adherence to policies regarding COVID-19 safeguards.</w:t>
      </w:r>
    </w:p>
    <w:p w:rsidR="00000000" w:rsidRDefault="00514E7E">
      <w:pPr>
        <w:shd w:val="clear" w:color="auto" w:fill="FFFFFF"/>
        <w:spacing w:after="200"/>
        <w:rPr>
          <w:color w:val="222222"/>
          <w:sz w:val="22"/>
          <w:szCs w:val="22"/>
        </w:rPr>
      </w:pPr>
    </w:p>
    <w:p w:rsidR="00000000" w:rsidRDefault="00514E7E">
      <w:pPr>
        <w:shd w:val="clear" w:color="auto" w:fill="FFFFFF"/>
        <w:spacing w:after="200"/>
        <w:rPr>
          <w:color w:val="222222"/>
        </w:rPr>
      </w:pPr>
      <w:r>
        <w:rPr>
          <w:color w:val="333333"/>
          <w:sz w:val="22"/>
          <w:szCs w:val="22"/>
        </w:rPr>
        <w:t>Fo</w:t>
      </w:r>
      <w:r>
        <w:rPr>
          <w:color w:val="333333"/>
          <w:sz w:val="22"/>
          <w:szCs w:val="22"/>
        </w:rPr>
        <w:t>r this semester specifically, please be aware that face coverings that cover both the nose and mouth are required at all times on campus. This includes all buildings, classrooms, shared laboratory areas, conference rooms, restrooms, elevators, hallways, co</w:t>
      </w:r>
      <w:r>
        <w:rPr>
          <w:color w:val="333333"/>
          <w:sz w:val="22"/>
          <w:szCs w:val="22"/>
        </w:rPr>
        <w:t>rridors, entrances, common areas, lobbies, offices, etc., and outdoors when in crowded areas such as walkways, entrances, during fire drills, etc.</w:t>
      </w:r>
    </w:p>
    <w:p w:rsidR="00000000" w:rsidRDefault="00514E7E">
      <w:pPr>
        <w:rPr>
          <w:rFonts w:ascii="Arial" w:hAnsi="Arial" w:cs="Arial"/>
          <w:b/>
          <w:color w:val="333399"/>
          <w:u w:val="single"/>
        </w:rPr>
      </w:pPr>
    </w:p>
    <w:p w:rsidR="00000000" w:rsidRDefault="00514E7E">
      <w:pPr>
        <w:shd w:val="clear" w:color="auto" w:fill="FFFFFF"/>
        <w:rPr>
          <w:rFonts w:ascii="Arial" w:hAnsi="Arial" w:cs="Arial"/>
          <w:b/>
          <w:color w:val="333399"/>
          <w:u w:val="single"/>
        </w:rPr>
      </w:pPr>
      <w:r>
        <w:rPr>
          <w:rFonts w:ascii="Arial" w:hAnsi="Arial" w:cs="Arial"/>
          <w:b/>
          <w:color w:val="333399"/>
          <w:u w:val="single"/>
        </w:rPr>
        <w:t>Accommodations for Students with Disabilities registered at SUNY Polytechnic Institute</w:t>
      </w:r>
    </w:p>
    <w:p w:rsidR="00000000" w:rsidRDefault="00514E7E">
      <w:pPr>
        <w:rPr>
          <w:rFonts w:ascii="Arial" w:hAnsi="Arial" w:cs="Arial"/>
          <w:sz w:val="20"/>
          <w:szCs w:val="20"/>
        </w:rPr>
      </w:pPr>
    </w:p>
    <w:p w:rsidR="00000000" w:rsidRDefault="00514E7E">
      <w:pPr>
        <w:rPr>
          <w:color w:val="333333"/>
          <w:sz w:val="22"/>
          <w:szCs w:val="22"/>
        </w:rPr>
      </w:pPr>
      <w:r>
        <w:rPr>
          <w:color w:val="333333"/>
          <w:sz w:val="22"/>
          <w:szCs w:val="22"/>
        </w:rPr>
        <w:t>In compliance with t</w:t>
      </w:r>
      <w:r>
        <w:rPr>
          <w:color w:val="333333"/>
          <w:sz w:val="22"/>
          <w:szCs w:val="22"/>
        </w:rPr>
        <w:t>he Americans with Disabilities Act of 1990 and Section 504 of the Rehabilitation Act, SUNY Polytechnic Institute is committed to ensuring educational access and accommodations for all registered students seeking access to meet course requirements and fully</w:t>
      </w:r>
      <w:r>
        <w:rPr>
          <w:color w:val="333333"/>
          <w:sz w:val="22"/>
          <w:szCs w:val="22"/>
        </w:rPr>
        <w:t xml:space="preserve"> participate in programs and activities.  Students with documented disabilities or medical conditions are encouraged to request these services by registering with the Office of Disability Services.  For information related to these services or to schedule </w:t>
      </w:r>
      <w:r>
        <w:rPr>
          <w:color w:val="333333"/>
          <w:sz w:val="22"/>
          <w:szCs w:val="22"/>
        </w:rPr>
        <w:t>a virtual appointment, please contact the Office of Disability Services using the information provided below and visit </w:t>
      </w:r>
      <w:hyperlink r:id="rId9" w:tgtFrame="_blank" w:history="1">
        <w:r>
          <w:rPr>
            <w:rStyle w:val="Hyperlink"/>
            <w:color w:val="333333"/>
            <w:sz w:val="22"/>
            <w:szCs w:val="22"/>
            <w:u w:val="none"/>
          </w:rPr>
          <w:t>https://sunypoly.edu/student</w:t>
        </w:r>
        <w:r>
          <w:rPr>
            <w:rStyle w:val="Hyperlink"/>
            <w:color w:val="333333"/>
            <w:sz w:val="22"/>
            <w:szCs w:val="22"/>
            <w:u w:val="none"/>
          </w:rPr>
          <w:t>-life/diversity-inclusion/disabilities-services.html</w:t>
        </w:r>
      </w:hyperlink>
    </w:p>
    <w:p w:rsidR="00000000" w:rsidRDefault="00514E7E">
      <w:pPr>
        <w:rPr>
          <w:color w:val="333333"/>
          <w:sz w:val="22"/>
          <w:szCs w:val="22"/>
        </w:rPr>
      </w:pPr>
    </w:p>
    <w:p w:rsidR="00000000" w:rsidRDefault="00514E7E">
      <w:pPr>
        <w:rPr>
          <w:color w:val="333333"/>
          <w:sz w:val="22"/>
          <w:szCs w:val="22"/>
        </w:rPr>
      </w:pPr>
      <w:r>
        <w:rPr>
          <w:color w:val="333333"/>
          <w:sz w:val="22"/>
          <w:szCs w:val="22"/>
        </w:rPr>
        <w:t>Megan Wyett Lennon, Interim Director</w:t>
      </w:r>
    </w:p>
    <w:p w:rsidR="00000000" w:rsidRDefault="00514E7E">
      <w:pPr>
        <w:rPr>
          <w:color w:val="333333"/>
          <w:sz w:val="22"/>
          <w:szCs w:val="22"/>
        </w:rPr>
      </w:pPr>
      <w:r>
        <w:rPr>
          <w:color w:val="333333"/>
          <w:sz w:val="22"/>
          <w:szCs w:val="22"/>
        </w:rPr>
        <w:t>Office of Disability Services</w:t>
      </w:r>
    </w:p>
    <w:p w:rsidR="00000000" w:rsidRDefault="00514E7E">
      <w:pPr>
        <w:rPr>
          <w:color w:val="333333"/>
          <w:sz w:val="22"/>
          <w:szCs w:val="22"/>
        </w:rPr>
      </w:pPr>
      <w:hyperlink r:id="rId10" w:tgtFrame="_blank" w:history="1">
        <w:r>
          <w:rPr>
            <w:rStyle w:val="Hyperlink"/>
            <w:color w:val="333333"/>
            <w:sz w:val="22"/>
            <w:szCs w:val="22"/>
            <w:u w:val="none"/>
          </w:rPr>
          <w:t>d</w:t>
        </w:r>
      </w:hyperlink>
      <w:hyperlink r:id="rId11" w:tgtFrame="_blank" w:history="1">
        <w:r>
          <w:rPr>
            <w:rStyle w:val="Hyperlink"/>
            <w:color w:val="333333"/>
            <w:sz w:val="22"/>
            <w:szCs w:val="22"/>
            <w:u w:val="none"/>
          </w:rPr>
          <w:t>s@sunypoly.edu</w:t>
        </w:r>
      </w:hyperlink>
      <w:r>
        <w:rPr>
          <w:color w:val="333333"/>
          <w:sz w:val="22"/>
          <w:szCs w:val="22"/>
        </w:rPr>
        <w:t> </w:t>
      </w:r>
    </w:p>
    <w:p w:rsidR="00000000" w:rsidRDefault="00514E7E">
      <w:pPr>
        <w:rPr>
          <w:color w:val="333333"/>
          <w:sz w:val="22"/>
          <w:szCs w:val="22"/>
        </w:rPr>
      </w:pPr>
      <w:r>
        <w:rPr>
          <w:color w:val="333333"/>
          <w:sz w:val="22"/>
          <w:szCs w:val="22"/>
        </w:rPr>
        <w:t>(315) 792-7170</w:t>
      </w:r>
    </w:p>
    <w:p w:rsidR="00000000" w:rsidRDefault="00514E7E">
      <w:pPr>
        <w:rPr>
          <w:color w:val="333333"/>
          <w:sz w:val="22"/>
          <w:szCs w:val="22"/>
        </w:rPr>
      </w:pPr>
      <w:r>
        <w:rPr>
          <w:color w:val="333333"/>
          <w:sz w:val="22"/>
          <w:szCs w:val="22"/>
        </w:rPr>
        <w:t>Peter J. Cayan Library, L145</w:t>
      </w:r>
    </w:p>
    <w:p w:rsidR="00000000" w:rsidRDefault="00514E7E">
      <w:pPr>
        <w:rPr>
          <w:rFonts w:ascii="Arial" w:hAnsi="Arial" w:cs="Arial"/>
          <w:b/>
          <w:color w:val="333399"/>
          <w:u w:val="single"/>
        </w:rPr>
      </w:pPr>
    </w:p>
    <w:sectPr w:rsidR="00000000">
      <w:footerReference w:type="even" r:id="rId12"/>
      <w:footerReference w:type="default" r:id="rId13"/>
      <w:pgSz w:w="12240" w:h="15840"/>
      <w:pgMar w:top="72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14E7E">
      <w:r>
        <w:separator/>
      </w:r>
    </w:p>
  </w:endnote>
  <w:endnote w:type="continuationSeparator" w:id="0">
    <w:p w:rsidR="00000000" w:rsidRDefault="005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14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514E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14E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514E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14E7E">
      <w:r>
        <w:separator/>
      </w:r>
    </w:p>
  </w:footnote>
  <w:footnote w:type="continuationSeparator" w:id="0">
    <w:p w:rsidR="00000000" w:rsidRDefault="0051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7135"/>
    <w:multiLevelType w:val="hybridMultilevel"/>
    <w:tmpl w:val="A1C22D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E23716"/>
    <w:rsid w:val="00514E7E"/>
    <w:rsid w:val="00E2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63A80-591E-4CE8-8C06-083CD2D9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Pr>
      <w:rFonts w:ascii="Cambria" w:eastAsia="Times New Roman" w:hAnsi="Cambria" w:cs="Times New Roman" w:hint="default"/>
      <w:b/>
      <w:bCs/>
      <w:color w:val="365F91"/>
      <w:sz w:val="28"/>
      <w:szCs w:val="28"/>
    </w:rPr>
  </w:style>
  <w:style w:type="paragraph" w:customStyle="1" w:styleId="msonormal0">
    <w:name w:val="msonormal"/>
    <w:basedOn w:val="Normal"/>
    <w:uiPriority w:val="99"/>
    <w:semiHidden/>
    <w:pPr>
      <w:spacing w:before="100" w:beforeAutospacing="1" w:after="100" w:afterAutospacing="1"/>
    </w:pPr>
    <w:rPr>
      <w:color w:val="000000"/>
    </w:rPr>
  </w:style>
  <w:style w:type="paragraph" w:styleId="NormalWeb">
    <w:name w:val="Normal (Web)"/>
    <w:basedOn w:val="Normal"/>
    <w:semiHidden/>
    <w:unhideWhenUsed/>
    <w:pPr>
      <w:spacing w:before="100" w:beforeAutospacing="1" w:after="100" w:afterAutospacing="1"/>
    </w:pPr>
    <w:rPr>
      <w:color w:val="000000"/>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szCs w:val="24"/>
    </w:rPr>
  </w:style>
  <w:style w:type="paragraph" w:styleId="BodyText">
    <w:name w:val="Body Text"/>
    <w:basedOn w:val="Normal"/>
    <w:link w:val="BodyTextChar"/>
    <w:uiPriority w:val="99"/>
    <w:semiHidden/>
    <w:unhideWhenUsed/>
    <w:pPr>
      <w:spacing w:before="100" w:beforeAutospacing="1" w:after="100" w:afterAutospacing="1"/>
    </w:pPr>
  </w:style>
  <w:style w:type="character" w:customStyle="1" w:styleId="BodyTextChar">
    <w:name w:val="Body Text Char"/>
    <w:basedOn w:val="DefaultParagraphFont"/>
    <w:link w:val="BodyText"/>
    <w:uiPriority w:val="99"/>
    <w:semiHidden/>
    <w:locked/>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customStyle="1" w:styleId="Hypertext">
    <w:name w:val="Hypertext"/>
    <w:rPr>
      <w:color w:val="0000FF"/>
      <w:u w:val="single"/>
    </w:r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nypoly.edu/student-life/community-standard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eople.sunyit.edu/~barans/schedule.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unypoly.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stere@sunyit.edu" TargetMode="External"/><Relationship Id="rId4" Type="http://schemas.openxmlformats.org/officeDocument/2006/relationships/webSettings" Target="webSettings.xml"/><Relationship Id="rId9" Type="http://schemas.openxmlformats.org/officeDocument/2006/relationships/hyperlink" Target="https://sunypoly.edu/student-life/diversity-inclusion/disabilities-service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SunyIT</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Jayne Baran</cp:lastModifiedBy>
  <cp:revision>2</cp:revision>
  <cp:lastPrinted>2020-06-16T14:44:00Z</cp:lastPrinted>
  <dcterms:created xsi:type="dcterms:W3CDTF">2021-02-12T22:24:00Z</dcterms:created>
  <dcterms:modified xsi:type="dcterms:W3CDTF">2021-02-12T22:24:00Z</dcterms:modified>
</cp:coreProperties>
</file>