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A0ED3">
      <w:pPr>
        <w:rPr>
          <w:rFonts w:ascii="Arial" w:hAnsi="Arial" w:cs="Arial"/>
          <w:b/>
        </w:rPr>
      </w:pPr>
      <w:bookmarkStart w:id="0" w:name="_GoBack"/>
      <w:bookmarkEnd w:id="0"/>
      <w:r>
        <w:rPr>
          <w:rFonts w:ascii="Arial" w:hAnsi="Arial" w:cs="Arial"/>
          <w:b/>
        </w:rPr>
        <w:t>CTC 475</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Coordinator: Jayne Baran</w:t>
      </w:r>
    </w:p>
    <w:p w:rsidR="00000000" w:rsidRDefault="002A0ED3">
      <w:pPr>
        <w:rPr>
          <w:rFonts w:ascii="Arial" w:hAnsi="Arial" w:cs="Arial"/>
          <w:b/>
          <w:color w:val="333399"/>
        </w:rPr>
      </w:pPr>
      <w:r>
        <w:rPr>
          <w:rFonts w:ascii="Arial" w:hAnsi="Arial" w:cs="Arial"/>
          <w:b/>
          <w:color w:val="333399"/>
        </w:rPr>
        <w:t>Economic Analysis in Technology</w:t>
      </w:r>
      <w:r>
        <w:rPr>
          <w:rFonts w:ascii="Arial" w:hAnsi="Arial" w:cs="Arial"/>
          <w:b/>
          <w:color w:val="333399"/>
        </w:rPr>
        <w:tab/>
      </w:r>
      <w:r>
        <w:rPr>
          <w:rFonts w:ascii="Arial" w:hAnsi="Arial" w:cs="Arial"/>
          <w:b/>
          <w:color w:val="333399"/>
        </w:rPr>
        <w:tab/>
      </w:r>
      <w:r>
        <w:rPr>
          <w:rFonts w:ascii="Arial" w:hAnsi="Arial" w:cs="Arial"/>
          <w:b/>
          <w:color w:val="000080"/>
        </w:rPr>
        <w:t>Classroom: Donovan G143</w:t>
      </w:r>
    </w:p>
    <w:p w:rsidR="00000000" w:rsidRDefault="002A0ED3">
      <w:pPr>
        <w:rPr>
          <w:rFonts w:ascii="Arial" w:hAnsi="Arial" w:cs="Arial"/>
          <w:b/>
        </w:rPr>
      </w:pPr>
      <w:r>
        <w:rPr>
          <w:rFonts w:ascii="Arial" w:hAnsi="Arial" w:cs="Arial"/>
          <w:b/>
        </w:rPr>
        <w:t>Fall 2019</w:t>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rPr>
        <w:t xml:space="preserve">Time: TR 4:00-6:00 pm   </w:t>
      </w:r>
    </w:p>
    <w:p w:rsidR="00000000" w:rsidRDefault="002A0ED3">
      <w:pPr>
        <w:pStyle w:val="NormalWeb"/>
      </w:pPr>
      <w:r>
        <w:rPr>
          <w:rFonts w:ascii="Arial" w:hAnsi="Arial" w:cs="Arial"/>
          <w:b/>
          <w:color w:val="333399"/>
          <w:u w:val="single"/>
        </w:rPr>
        <w:t>Course Description:</w:t>
      </w:r>
    </w:p>
    <w:p w:rsidR="00000000" w:rsidRDefault="002A0ED3">
      <w:pPr>
        <w:pStyle w:val="NormalWeb"/>
      </w:pPr>
      <w:r>
        <w:t xml:space="preserve">Methods for choosing between alternatives based on the time value of money.  </w:t>
      </w:r>
      <w:r>
        <w:t>Analytical costs, models and techniques as applied to engineering technology and manufacturing.  Replacement studies, depreciation and after-tax analysis, risk, uncertainty and sensitivity analysis.</w:t>
      </w:r>
    </w:p>
    <w:p w:rsidR="00000000" w:rsidRDefault="002A0ED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Required Text and Materials:</w:t>
      </w:r>
    </w:p>
    <w:p w:rsidR="00000000" w:rsidRDefault="002A0ED3">
      <w:pPr>
        <w:pStyle w:val="NormalWeb"/>
      </w:pPr>
      <w:r>
        <w:t>Author:             Blank an</w:t>
      </w:r>
      <w:r>
        <w:t>d Tarquin</w:t>
      </w:r>
      <w:r>
        <w:br/>
        <w:t>Title:                 Basics of Engineering Economy</w:t>
      </w:r>
      <w:r>
        <w:br/>
        <w:t>ISBN:                978</w:t>
      </w:r>
      <w:r>
        <w:t>-</w:t>
      </w:r>
      <w:r>
        <w:t>0073376356</w:t>
      </w:r>
    </w:p>
    <w:p w:rsidR="00000000" w:rsidRDefault="002A0ED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Learning Outcomes:</w:t>
      </w:r>
    </w:p>
    <w:p w:rsidR="00000000" w:rsidRDefault="002A0ED3">
      <w:pPr>
        <w:pStyle w:val="NormalWeb"/>
      </w:pPr>
      <w:r>
        <w:t>The object of this course is to introduce students to the theory and applications of engineering economics.  Upon completion of this cours</w:t>
      </w:r>
      <w:r>
        <w:t>e, students should have the ability to select the best project/equipment/materials through economic justification.</w:t>
      </w:r>
    </w:p>
    <w:p w:rsidR="00000000" w:rsidRDefault="002A0ED3">
      <w:pPr>
        <w:pStyle w:val="NormalWeb"/>
      </w:pPr>
      <w:r>
        <w:t>Projects emphasize teamwork and communication, as well as the application of industry-standard word-processing and spreadsheet software.  The</w:t>
      </w:r>
      <w:r>
        <w:t xml:space="preserve"> need for professionalism and excellence is reinforced through the requirement for assignments to be completed on time and in a neat and well-organized manner.</w:t>
      </w:r>
    </w:p>
    <w:p w:rsidR="00000000" w:rsidRDefault="002A0ED3">
      <w:r>
        <w:rPr>
          <w:rFonts w:ascii="Arial" w:hAnsi="Arial" w:cs="Arial"/>
          <w:b/>
          <w:color w:val="000080"/>
          <w:u w:val="single"/>
        </w:rPr>
        <w:t>Office Hours and Contact Info</w:t>
      </w:r>
      <w:proofErr w:type="gramStart"/>
      <w:r>
        <w:rPr>
          <w:rFonts w:ascii="Arial" w:hAnsi="Arial" w:cs="Arial"/>
          <w:b/>
          <w:color w:val="000080"/>
          <w:u w:val="single"/>
        </w:rPr>
        <w:t>:</w:t>
      </w:r>
      <w:proofErr w:type="gramEnd"/>
      <w:r>
        <w:rPr>
          <w:rFonts w:ascii="Arial" w:hAnsi="Arial" w:cs="Arial"/>
          <w:b/>
          <w:color w:val="000080"/>
          <w:u w:val="single"/>
        </w:rPr>
        <w:br/>
      </w:r>
      <w:r>
        <w:t>see http:\\people.sunyit.edu/~</w:t>
      </w:r>
      <w:proofErr w:type="spellStart"/>
      <w:r>
        <w:t>barans</w:t>
      </w:r>
      <w:proofErr w:type="spellEnd"/>
      <w:r>
        <w:t xml:space="preserve">  </w:t>
      </w:r>
      <w:r>
        <w:tab/>
      </w:r>
      <w:r>
        <w:tab/>
        <w:t xml:space="preserve">Donovan Hall, 1197 </w:t>
      </w:r>
    </w:p>
    <w:p w:rsidR="00000000" w:rsidRDefault="002A0ED3">
      <w:r>
        <w:t>(</w:t>
      </w:r>
      <w:proofErr w:type="gramStart"/>
      <w:r>
        <w:t>Or</w:t>
      </w:r>
      <w:proofErr w:type="gramEnd"/>
      <w:r>
        <w:t xml:space="preserve"> b</w:t>
      </w:r>
      <w:r>
        <w:t xml:space="preserve">y appointment)     </w:t>
      </w:r>
      <w:r>
        <w:tab/>
      </w:r>
      <w:r>
        <w:tab/>
      </w:r>
      <w:r>
        <w:tab/>
        <w:t xml:space="preserve">Phone: (315) 792-7542          </w:t>
      </w:r>
      <w:r>
        <w:br/>
        <w:t>Email:</w:t>
      </w:r>
      <w:r>
        <w:tab/>
        <w:t xml:space="preserve"> Jayne.Baran@sunyit.edu</w:t>
      </w:r>
      <w:r>
        <w:tab/>
      </w:r>
    </w:p>
    <w:p w:rsidR="00000000" w:rsidRDefault="002A0ED3">
      <w:pPr>
        <w:pStyle w:val="NormalWeb"/>
        <w:rPr>
          <w:rFonts w:ascii="Arial" w:hAnsi="Arial" w:cs="Arial"/>
          <w:b/>
          <w:color w:val="000080"/>
          <w:u w:val="single"/>
        </w:rPr>
      </w:pPr>
      <w:r>
        <w:rPr>
          <w:rFonts w:ascii="Arial" w:hAnsi="Arial" w:cs="Arial"/>
          <w:b/>
          <w:color w:val="000080"/>
          <w:u w:val="single"/>
        </w:rPr>
        <w:t>Prerequisite by topic:</w:t>
      </w:r>
    </w:p>
    <w:p w:rsidR="00000000" w:rsidRDefault="002A0ED3">
      <w:pPr>
        <w:numPr>
          <w:ilvl w:val="0"/>
          <w:numId w:val="3"/>
        </w:numPr>
        <w:spacing w:before="100" w:beforeAutospacing="1" w:after="100" w:afterAutospacing="1"/>
      </w:pPr>
      <w:r>
        <w:t xml:space="preserve">Basic understanding of algebra </w:t>
      </w:r>
    </w:p>
    <w:p w:rsidR="00000000" w:rsidRDefault="002A0ED3">
      <w:pPr>
        <w:numPr>
          <w:ilvl w:val="0"/>
          <w:numId w:val="3"/>
        </w:numPr>
        <w:spacing w:before="100" w:beforeAutospacing="1" w:after="100" w:afterAutospacing="1"/>
      </w:pPr>
      <w:r>
        <w:t>Basic understanding of differential calculus</w:t>
      </w:r>
    </w:p>
    <w:p w:rsidR="00000000" w:rsidRDefault="002A0ED3">
      <w:pPr>
        <w:numPr>
          <w:ilvl w:val="0"/>
          <w:numId w:val="3"/>
        </w:numPr>
        <w:spacing w:before="100" w:beforeAutospacing="1" w:after="100" w:afterAutospacing="1"/>
      </w:pPr>
      <w:r>
        <w:t>Ability to use spreadsheet, word processing, and presentation software</w:t>
      </w:r>
    </w:p>
    <w:p w:rsidR="00000000" w:rsidRDefault="002A0ED3">
      <w:pPr>
        <w:rPr>
          <w:rFonts w:ascii="Arial" w:hAnsi="Arial" w:cs="Arial"/>
          <w:b/>
          <w:color w:val="000080"/>
          <w:u w:val="single"/>
        </w:rPr>
      </w:pPr>
      <w:r>
        <w:rPr>
          <w:rFonts w:ascii="Arial" w:hAnsi="Arial" w:cs="Arial"/>
          <w:b/>
          <w:color w:val="000080"/>
          <w:u w:val="single"/>
        </w:rPr>
        <w:br w:type="page"/>
      </w:r>
    </w:p>
    <w:p w:rsidR="00000000" w:rsidRDefault="002A0ED3">
      <w:pPr>
        <w:pStyle w:val="NormalWeb"/>
        <w:rPr>
          <w:rFonts w:ascii="Arial" w:hAnsi="Arial" w:cs="Arial"/>
          <w:b/>
          <w:color w:val="000080"/>
          <w:u w:val="single"/>
        </w:rPr>
      </w:pPr>
      <w:r>
        <w:rPr>
          <w:rFonts w:ascii="Arial" w:hAnsi="Arial" w:cs="Arial"/>
          <w:b/>
          <w:color w:val="000080"/>
          <w:u w:val="single"/>
        </w:rPr>
        <w:lastRenderedPageBreak/>
        <w:t>Topics:</w:t>
      </w:r>
    </w:p>
    <w:tbl>
      <w:tblPr>
        <w:tblW w:w="10203" w:type="dxa"/>
        <w:shd w:val="clear" w:color="auto" w:fill="CCECFF"/>
        <w:tblLook w:val="04A0" w:firstRow="1" w:lastRow="0" w:firstColumn="1" w:lastColumn="0" w:noHBand="0" w:noVBand="1"/>
      </w:tblPr>
      <w:tblGrid>
        <w:gridCol w:w="1145"/>
        <w:gridCol w:w="3777"/>
        <w:gridCol w:w="1260"/>
        <w:gridCol w:w="4021"/>
      </w:tblGrid>
      <w:tr w:rsidR="00000000">
        <w:trPr>
          <w:trHeight w:val="315"/>
        </w:trPr>
        <w:tc>
          <w:tcPr>
            <w:tcW w:w="1145" w:type="dxa"/>
            <w:shd w:val="clear" w:color="auto" w:fill="CCECFF"/>
            <w:noWrap/>
            <w:vAlign w:val="bottom"/>
            <w:hideMark/>
          </w:tcPr>
          <w:p w:rsidR="00000000" w:rsidRDefault="002A0ED3">
            <w:pPr>
              <w:rPr>
                <w:rFonts w:ascii="Arial" w:hAnsi="Arial" w:cs="Arial"/>
                <w:b/>
                <w:bCs/>
              </w:rPr>
            </w:pPr>
            <w:r>
              <w:rPr>
                <w:rFonts w:ascii="Arial" w:hAnsi="Arial" w:cs="Arial"/>
                <w:b/>
                <w:bCs/>
              </w:rPr>
              <w:t>Topics:</w:t>
            </w:r>
          </w:p>
        </w:tc>
        <w:tc>
          <w:tcPr>
            <w:tcW w:w="3777" w:type="dxa"/>
            <w:shd w:val="clear" w:color="auto" w:fill="CCECFF"/>
            <w:noWrap/>
            <w:vAlign w:val="bottom"/>
            <w:hideMark/>
          </w:tcPr>
          <w:p w:rsidR="00000000" w:rsidRDefault="002A0ED3">
            <w:pPr>
              <w:rPr>
                <w:rFonts w:ascii="Arial" w:hAnsi="Arial" w:cs="Arial"/>
                <w:b/>
                <w:bCs/>
              </w:rPr>
            </w:pPr>
            <w:r>
              <w:rPr>
                <w:rFonts w:ascii="Arial" w:hAnsi="Arial" w:cs="Arial"/>
                <w:b/>
                <w:bCs/>
              </w:rPr>
              <w:t>Description</w:t>
            </w:r>
          </w:p>
        </w:tc>
        <w:tc>
          <w:tcPr>
            <w:tcW w:w="1260" w:type="dxa"/>
            <w:shd w:val="clear" w:color="auto" w:fill="CCECFF"/>
            <w:vAlign w:val="bottom"/>
            <w:hideMark/>
          </w:tcPr>
          <w:p w:rsidR="00000000" w:rsidRDefault="002A0ED3">
            <w:pPr>
              <w:jc w:val="center"/>
              <w:rPr>
                <w:rFonts w:ascii="Arial" w:hAnsi="Arial" w:cs="Arial"/>
                <w:b/>
                <w:bCs/>
              </w:rPr>
            </w:pPr>
            <w:proofErr w:type="spellStart"/>
            <w:r>
              <w:rPr>
                <w:rFonts w:ascii="Arial" w:hAnsi="Arial" w:cs="Arial"/>
                <w:b/>
                <w:bCs/>
              </w:rPr>
              <w:t>Hrs</w:t>
            </w:r>
            <w:proofErr w:type="spellEnd"/>
          </w:p>
        </w:tc>
        <w:tc>
          <w:tcPr>
            <w:tcW w:w="4021" w:type="dxa"/>
            <w:shd w:val="clear" w:color="auto" w:fill="CCECFF"/>
            <w:noWrap/>
            <w:vAlign w:val="bottom"/>
            <w:hideMark/>
          </w:tcPr>
          <w:p w:rsidR="00000000" w:rsidRDefault="002A0ED3">
            <w:pPr>
              <w:rPr>
                <w:rFonts w:ascii="Arial" w:hAnsi="Arial" w:cs="Arial"/>
                <w:b/>
                <w:bCs/>
              </w:rPr>
            </w:pPr>
            <w:r>
              <w:rPr>
                <w:rFonts w:ascii="Arial" w:hAnsi="Arial" w:cs="Arial"/>
                <w:b/>
                <w:bCs/>
              </w:rPr>
              <w:t>HW Assignments/Projects</w:t>
            </w:r>
          </w:p>
        </w:tc>
      </w:tr>
      <w:tr w:rsidR="00000000">
        <w:trPr>
          <w:trHeight w:val="117"/>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Foundations of Engineering Economy</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 / Review Excel Software</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 xml:space="preserve">How Time and Interest Affect Money </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 xml:space="preserve">Chapter 2  </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3</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Nominal and Effective Interest Rates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3</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4</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 xml:space="preserve">Present Worth </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4 / Software Application Project</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5</w:t>
            </w:r>
          </w:p>
        </w:tc>
        <w:tc>
          <w:tcPr>
            <w:tcW w:w="3777" w:type="dxa"/>
            <w:shd w:val="clear" w:color="auto" w:fill="CCECFF"/>
            <w:noWrap/>
            <w:vAlign w:val="bottom"/>
            <w:hideMark/>
          </w:tcPr>
          <w:p w:rsidR="00000000" w:rsidRDefault="002A0ED3">
            <w:pPr>
              <w:rPr>
                <w:rFonts w:ascii="Arial" w:hAnsi="Arial" w:cs="Arial"/>
                <w:bCs/>
                <w:sz w:val="20"/>
                <w:szCs w:val="20"/>
              </w:rPr>
            </w:pPr>
            <w:r>
              <w:rPr>
                <w:rFonts w:ascii="Arial" w:hAnsi="Arial" w:cs="Arial"/>
                <w:bCs/>
                <w:sz w:val="20"/>
                <w:szCs w:val="20"/>
              </w:rPr>
              <w:t>Annual Worth</w:t>
            </w:r>
          </w:p>
        </w:tc>
        <w:tc>
          <w:tcPr>
            <w:tcW w:w="1260" w:type="dxa"/>
            <w:shd w:val="clear" w:color="auto" w:fill="CCECFF"/>
            <w:vAlign w:val="bottom"/>
            <w:hideMark/>
          </w:tcPr>
          <w:p w:rsidR="00000000" w:rsidRDefault="002A0ED3">
            <w:pPr>
              <w:jc w:val="center"/>
              <w:rPr>
                <w:rFonts w:ascii="Arial" w:hAnsi="Arial" w:cs="Arial"/>
                <w:bCs/>
                <w:sz w:val="20"/>
                <w:szCs w:val="20"/>
              </w:rPr>
            </w:pPr>
            <w:r>
              <w:rPr>
                <w:rFonts w:ascii="Arial" w:hAnsi="Arial" w:cs="Arial"/>
                <w:bCs/>
                <w:sz w:val="20"/>
                <w:szCs w:val="20"/>
              </w:rPr>
              <w:t>2</w:t>
            </w:r>
          </w:p>
        </w:tc>
        <w:tc>
          <w:tcPr>
            <w:tcW w:w="4021" w:type="dxa"/>
            <w:shd w:val="clear" w:color="auto" w:fill="CCECFF"/>
            <w:noWrap/>
            <w:vAlign w:val="bottom"/>
            <w:hideMark/>
          </w:tcPr>
          <w:p w:rsidR="00000000" w:rsidRDefault="002A0ED3">
            <w:pPr>
              <w:rPr>
                <w:rFonts w:ascii="Arial" w:hAnsi="Arial" w:cs="Arial"/>
                <w:bCs/>
                <w:sz w:val="20"/>
                <w:szCs w:val="20"/>
              </w:rPr>
            </w:pPr>
            <w:r>
              <w:rPr>
                <w:rFonts w:ascii="Arial" w:hAnsi="Arial" w:cs="Arial"/>
                <w:bCs/>
                <w:sz w:val="20"/>
                <w:szCs w:val="20"/>
              </w:rPr>
              <w:t xml:space="preserve">Chapter 5 </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bCs/>
                <w:sz w:val="20"/>
                <w:szCs w:val="20"/>
              </w:rPr>
            </w:pPr>
            <w:r>
              <w:rPr>
                <w:rFonts w:ascii="Arial" w:hAnsi="Arial" w:cs="Arial"/>
                <w:bCs/>
                <w:sz w:val="20"/>
                <w:szCs w:val="20"/>
              </w:rPr>
              <w:t>6</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Rate of Return</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b/>
                <w:sz w:val="20"/>
                <w:szCs w:val="20"/>
              </w:rPr>
            </w:pPr>
            <w:r>
              <w:rPr>
                <w:rFonts w:ascii="Arial" w:hAnsi="Arial" w:cs="Arial"/>
                <w:sz w:val="20"/>
                <w:szCs w:val="20"/>
              </w:rPr>
              <w:t>Chapter 6   Software Application Project</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7</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Benefit/Cost and Public Sector Projects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4</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 xml:space="preserve">Chapter 7   Software Application Project </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8</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 xml:space="preserve">Breakeven, </w:t>
            </w:r>
            <w:r>
              <w:rPr>
                <w:rFonts w:ascii="Arial" w:hAnsi="Arial" w:cs="Arial"/>
                <w:sz w:val="20"/>
                <w:szCs w:val="20"/>
              </w:rPr>
              <w:t>Sensitivity and Payback</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9   Software Application Project</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9</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Replacement and Retention Decisions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10 / Software Application Project</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10</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Effects of Inflation</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11</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11</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Estimating Costs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12 / Software Application Project</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12</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Depreciation Methods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13</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13</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After-Tax Economic Analysis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14</w:t>
            </w:r>
          </w:p>
        </w:tc>
      </w:tr>
      <w:tr w:rsidR="00000000">
        <w:trPr>
          <w:trHeight w:val="255"/>
        </w:trPr>
        <w:tc>
          <w:tcPr>
            <w:tcW w:w="1145"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14</w:t>
            </w: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Multiple Attributes and Risk</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Chapter 15 / Sustainability Report</w:t>
            </w:r>
          </w:p>
        </w:tc>
      </w:tr>
      <w:tr w:rsidR="00000000">
        <w:trPr>
          <w:trHeight w:val="255"/>
        </w:trPr>
        <w:tc>
          <w:tcPr>
            <w:tcW w:w="1145" w:type="dxa"/>
            <w:shd w:val="clear" w:color="auto" w:fill="CCECFF"/>
            <w:noWrap/>
            <w:vAlign w:val="bottom"/>
          </w:tcPr>
          <w:p w:rsidR="00000000" w:rsidRDefault="002A0ED3">
            <w:pPr>
              <w:jc w:val="center"/>
              <w:rPr>
                <w:rFonts w:ascii="Arial" w:hAnsi="Arial" w:cs="Arial"/>
                <w:sz w:val="20"/>
                <w:szCs w:val="20"/>
              </w:rPr>
            </w:pPr>
          </w:p>
        </w:tc>
        <w:tc>
          <w:tcPr>
            <w:tcW w:w="3777" w:type="dxa"/>
            <w:shd w:val="clear" w:color="auto" w:fill="CCECFF"/>
            <w:noWrap/>
            <w:vAlign w:val="bottom"/>
            <w:hideMark/>
          </w:tcPr>
          <w:p w:rsidR="00000000" w:rsidRDefault="002A0ED3">
            <w:pPr>
              <w:rPr>
                <w:rFonts w:ascii="Arial" w:hAnsi="Arial" w:cs="Arial"/>
                <w:sz w:val="20"/>
                <w:szCs w:val="20"/>
              </w:rPr>
            </w:pPr>
            <w:r>
              <w:rPr>
                <w:rFonts w:ascii="Arial" w:hAnsi="Arial" w:cs="Arial"/>
                <w:sz w:val="20"/>
                <w:szCs w:val="20"/>
              </w:rPr>
              <w:t>Project Presentations/Activities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6</w:t>
            </w:r>
          </w:p>
        </w:tc>
        <w:tc>
          <w:tcPr>
            <w:tcW w:w="4021" w:type="dxa"/>
            <w:shd w:val="clear" w:color="auto" w:fill="CCECFF"/>
            <w:noWrap/>
            <w:vAlign w:val="bottom"/>
          </w:tcPr>
          <w:p w:rsidR="00000000" w:rsidRDefault="002A0ED3">
            <w:pPr>
              <w:rPr>
                <w:rFonts w:ascii="Arial" w:hAnsi="Arial" w:cs="Arial"/>
                <w:sz w:val="20"/>
                <w:szCs w:val="20"/>
              </w:rPr>
            </w:pPr>
          </w:p>
        </w:tc>
      </w:tr>
      <w:tr w:rsidR="00000000">
        <w:trPr>
          <w:trHeight w:val="255"/>
        </w:trPr>
        <w:tc>
          <w:tcPr>
            <w:tcW w:w="1145" w:type="dxa"/>
            <w:shd w:val="clear" w:color="auto" w:fill="CCECFF"/>
            <w:noWrap/>
            <w:vAlign w:val="bottom"/>
          </w:tcPr>
          <w:p w:rsidR="00000000" w:rsidRDefault="002A0ED3">
            <w:pPr>
              <w:jc w:val="center"/>
              <w:rPr>
                <w:rFonts w:ascii="Arial" w:hAnsi="Arial" w:cs="Arial"/>
                <w:b/>
                <w:sz w:val="20"/>
                <w:szCs w:val="20"/>
              </w:rPr>
            </w:pPr>
          </w:p>
        </w:tc>
        <w:tc>
          <w:tcPr>
            <w:tcW w:w="3777" w:type="dxa"/>
            <w:shd w:val="clear" w:color="auto" w:fill="CCECFF"/>
            <w:noWrap/>
            <w:vAlign w:val="bottom"/>
            <w:hideMark/>
          </w:tcPr>
          <w:p w:rsidR="00000000" w:rsidRDefault="002A0ED3">
            <w:pPr>
              <w:rPr>
                <w:rFonts w:ascii="Arial" w:hAnsi="Arial" w:cs="Arial"/>
                <w:b/>
                <w:sz w:val="20"/>
                <w:szCs w:val="20"/>
              </w:rPr>
            </w:pPr>
            <w:r>
              <w:rPr>
                <w:rFonts w:ascii="Arial" w:hAnsi="Arial" w:cs="Arial"/>
                <w:sz w:val="20"/>
                <w:szCs w:val="20"/>
              </w:rPr>
              <w:t>Mid-Term/Final/Reviews</w:t>
            </w:r>
          </w:p>
        </w:tc>
        <w:tc>
          <w:tcPr>
            <w:tcW w:w="1260" w:type="dxa"/>
            <w:shd w:val="clear" w:color="auto" w:fill="CCECFF"/>
            <w:vAlign w:val="bottom"/>
            <w:hideMark/>
          </w:tcPr>
          <w:p w:rsidR="00000000" w:rsidRDefault="002A0ED3">
            <w:pPr>
              <w:jc w:val="center"/>
              <w:rPr>
                <w:rFonts w:ascii="Arial" w:hAnsi="Arial" w:cs="Arial"/>
                <w:sz w:val="20"/>
                <w:szCs w:val="20"/>
              </w:rPr>
            </w:pPr>
            <w:r>
              <w:rPr>
                <w:rFonts w:ascii="Arial" w:hAnsi="Arial" w:cs="Arial"/>
                <w:sz w:val="20"/>
                <w:szCs w:val="20"/>
              </w:rPr>
              <w:t>8</w:t>
            </w:r>
          </w:p>
        </w:tc>
        <w:tc>
          <w:tcPr>
            <w:tcW w:w="4021" w:type="dxa"/>
            <w:shd w:val="clear" w:color="auto" w:fill="CCECFF"/>
            <w:noWrap/>
            <w:vAlign w:val="bottom"/>
          </w:tcPr>
          <w:p w:rsidR="00000000" w:rsidRDefault="002A0ED3">
            <w:pPr>
              <w:rPr>
                <w:rFonts w:ascii="Arial" w:hAnsi="Arial" w:cs="Arial"/>
                <w:b/>
                <w:sz w:val="20"/>
                <w:szCs w:val="20"/>
              </w:rPr>
            </w:pPr>
          </w:p>
        </w:tc>
      </w:tr>
    </w:tbl>
    <w:p w:rsidR="00000000" w:rsidRDefault="002A0ED3">
      <w:pPr>
        <w:pStyle w:val="NormalWeb"/>
        <w:rPr>
          <w:rFonts w:ascii="Arial" w:hAnsi="Arial" w:cs="Arial"/>
          <w:b/>
          <w:color w:val="000080"/>
          <w:u w:val="single"/>
        </w:rPr>
      </w:pPr>
    </w:p>
    <w:p w:rsidR="00000000" w:rsidRDefault="002A0ED3">
      <w:pPr>
        <w:pStyle w:val="NormalWeb"/>
        <w:rPr>
          <w:rFonts w:ascii="Arial" w:hAnsi="Arial" w:cs="Arial"/>
          <w:b/>
          <w:color w:val="000080"/>
          <w:u w:val="single"/>
        </w:rPr>
      </w:pPr>
      <w:r>
        <w:rPr>
          <w:rFonts w:ascii="Arial" w:hAnsi="Arial" w:cs="Arial"/>
          <w:b/>
          <w:color w:val="000080"/>
          <w:u w:val="single"/>
        </w:rPr>
        <w:t>Computer Usage:</w:t>
      </w:r>
    </w:p>
    <w:p w:rsidR="00000000" w:rsidRDefault="002A0ED3">
      <w:pPr>
        <w:numPr>
          <w:ilvl w:val="0"/>
          <w:numId w:val="5"/>
        </w:numPr>
        <w:autoSpaceDE w:val="0"/>
        <w:autoSpaceDN w:val="0"/>
        <w:adjustRightInd w:val="0"/>
        <w:spacing w:after="120"/>
        <w:rPr>
          <w:rFonts w:ascii="Tms Rmn" w:hAnsi="Tms Rmn"/>
        </w:rPr>
      </w:pPr>
      <w:r>
        <w:t xml:space="preserve">The </w:t>
      </w:r>
      <w:r>
        <w:t>syllabus, project assignments, and tentative class schedule will be posted on the web at http://people-devel.sunyit.edu/~barans/</w:t>
      </w:r>
    </w:p>
    <w:p w:rsidR="00000000" w:rsidRDefault="002A0ED3">
      <w:pPr>
        <w:numPr>
          <w:ilvl w:val="0"/>
          <w:numId w:val="5"/>
        </w:numPr>
        <w:spacing w:before="100" w:beforeAutospacing="1" w:after="100" w:afterAutospacing="1"/>
      </w:pPr>
      <w:r>
        <w:t>Students will be required to use word processing and presentation software to prepare five written article summaries. One of th</w:t>
      </w:r>
      <w:r>
        <w:t xml:space="preserve">e five will be presented orally. </w:t>
      </w:r>
    </w:p>
    <w:p w:rsidR="00000000" w:rsidRDefault="002A0ED3">
      <w:pPr>
        <w:numPr>
          <w:ilvl w:val="0"/>
          <w:numId w:val="5"/>
        </w:numPr>
        <w:spacing w:before="100" w:beforeAutospacing="1" w:after="100" w:afterAutospacing="1"/>
      </w:pPr>
      <w:r>
        <w:t>Word processing and spreadsheet software will be used to complete the projects.</w:t>
      </w:r>
    </w:p>
    <w:p w:rsidR="00000000" w:rsidRDefault="002A0ED3">
      <w:pPr>
        <w:shd w:val="clear" w:color="auto" w:fill="FFFFFF"/>
        <w:spacing w:before="100" w:beforeAutospacing="1" w:after="100" w:afterAutospacing="1" w:line="236" w:lineRule="atLeast"/>
        <w:rPr>
          <w:b/>
          <w:bCs/>
        </w:rPr>
      </w:pPr>
      <w:r>
        <w:t> </w:t>
      </w:r>
      <w:r>
        <w:rPr>
          <w:rFonts w:ascii="Arial" w:hAnsi="Arial" w:cs="Arial"/>
          <w:b/>
          <w:color w:val="333399"/>
          <w:u w:val="single"/>
        </w:rPr>
        <w:t>Projects:</w:t>
      </w:r>
    </w:p>
    <w:p w:rsidR="00000000" w:rsidRDefault="002A0ED3">
      <w:pPr>
        <w:numPr>
          <w:ilvl w:val="0"/>
          <w:numId w:val="8"/>
        </w:numPr>
        <w:spacing w:before="100" w:beforeAutospacing="1" w:after="100" w:afterAutospacing="1"/>
      </w:pPr>
      <w:r>
        <w:t>Search two Internet sites related to economic analysis.</w:t>
      </w:r>
    </w:p>
    <w:p w:rsidR="00000000" w:rsidRDefault="002A0ED3">
      <w:pPr>
        <w:numPr>
          <w:ilvl w:val="0"/>
          <w:numId w:val="8"/>
        </w:numPr>
        <w:spacing w:before="100" w:beforeAutospacing="1" w:after="100" w:afterAutospacing="1"/>
      </w:pPr>
      <w:r>
        <w:t>Develop a spreadsheet that can solve linear and nonlinear breakeven problem</w:t>
      </w:r>
      <w:r>
        <w:t>s.</w:t>
      </w:r>
    </w:p>
    <w:p w:rsidR="00000000" w:rsidRDefault="002A0ED3">
      <w:pPr>
        <w:numPr>
          <w:ilvl w:val="0"/>
          <w:numId w:val="8"/>
        </w:numPr>
        <w:spacing w:before="100" w:beforeAutospacing="1" w:after="100" w:afterAutospacing="1"/>
      </w:pPr>
      <w:r>
        <w:t>Develop a spreadsheet that explores simple versus compound interest and calculate economic factors.</w:t>
      </w:r>
    </w:p>
    <w:p w:rsidR="00000000" w:rsidRDefault="002A0ED3">
      <w:pPr>
        <w:numPr>
          <w:ilvl w:val="0"/>
          <w:numId w:val="8"/>
        </w:numPr>
        <w:spacing w:before="100" w:beforeAutospacing="1" w:after="100" w:afterAutospacing="1"/>
      </w:pPr>
      <w:r>
        <w:t>Develop a spreadsheet that calculates annuities and continuous compounding rates.</w:t>
      </w:r>
    </w:p>
    <w:p w:rsidR="00000000" w:rsidRDefault="002A0ED3">
      <w:pPr>
        <w:numPr>
          <w:ilvl w:val="0"/>
          <w:numId w:val="8"/>
        </w:numPr>
        <w:spacing w:before="100" w:beforeAutospacing="1" w:after="100" w:afterAutospacing="1"/>
      </w:pPr>
      <w:r>
        <w:t xml:space="preserve">Develop a retirement worksheet </w:t>
      </w:r>
      <w:r>
        <w:t xml:space="preserve">and compare it to one of the retirement tools found on the Internet. </w:t>
      </w:r>
    </w:p>
    <w:p w:rsidR="00000000" w:rsidRDefault="002A0ED3">
      <w:pPr>
        <w:numPr>
          <w:ilvl w:val="0"/>
          <w:numId w:val="8"/>
        </w:numPr>
        <w:spacing w:before="100" w:beforeAutospacing="1" w:after="100" w:afterAutospacing="1"/>
      </w:pPr>
      <w:r>
        <w:t>Develop a spreadsheet that can determine financial measures of merit.</w:t>
      </w:r>
    </w:p>
    <w:p w:rsidR="00000000" w:rsidRDefault="002A0ED3">
      <w:pPr>
        <w:numPr>
          <w:ilvl w:val="0"/>
          <w:numId w:val="8"/>
        </w:numPr>
        <w:spacing w:before="100" w:beforeAutospacing="1" w:after="100" w:afterAutospacing="1"/>
      </w:pPr>
      <w:r>
        <w:t>Develop a spreadsheet that uses depreciation to perform after-tax cost analyses.</w:t>
      </w:r>
    </w:p>
    <w:p w:rsidR="00000000" w:rsidRDefault="002A0ED3">
      <w:pPr>
        <w:numPr>
          <w:ilvl w:val="0"/>
          <w:numId w:val="8"/>
        </w:numPr>
        <w:spacing w:before="100" w:beforeAutospacing="1" w:after="100" w:afterAutospacing="1"/>
      </w:pPr>
      <w:r>
        <w:t>Develop spreadsheets for dealing wi</w:t>
      </w:r>
      <w:r>
        <w:t>th uncertainty.</w:t>
      </w:r>
      <w:r>
        <w:rPr>
          <w:rFonts w:ascii="Arial" w:hAnsi="Arial" w:cs="Arial"/>
          <w:b/>
          <w:color w:val="333399"/>
          <w:u w:val="single"/>
        </w:rPr>
        <w:br w:type="page"/>
      </w:r>
    </w:p>
    <w:p w:rsidR="00000000" w:rsidRDefault="002A0ED3">
      <w:pPr>
        <w:spacing w:before="100" w:beforeAutospacing="1" w:after="100" w:afterAutospacing="1"/>
        <w:ind w:left="720"/>
      </w:pPr>
    </w:p>
    <w:p w:rsidR="00000000" w:rsidRDefault="002A0ED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t>Methods of Evaluation:</w:t>
      </w:r>
    </w:p>
    <w:p w:rsidR="00000000" w:rsidRDefault="002A0ED3">
      <w:pPr>
        <w:rPr>
          <w:rFonts w:ascii="Arial" w:hAnsi="Arial" w:cs="Arial"/>
          <w:b/>
          <w:bCs/>
        </w:rPr>
      </w:pPr>
    </w:p>
    <w:p w:rsidR="00000000" w:rsidRDefault="002A0ED3">
      <w:pPr>
        <w:rPr>
          <w:rFonts w:ascii="Arial" w:hAnsi="Arial" w:cs="Arial"/>
          <w:b/>
          <w:bCs/>
        </w:rPr>
      </w:pPr>
      <w:r>
        <w:rPr>
          <w:rFonts w:ascii="Arial" w:hAnsi="Arial" w:cs="Arial"/>
          <w:b/>
          <w:bCs/>
        </w:rPr>
        <w:t>Homework:</w:t>
      </w:r>
    </w:p>
    <w:p w:rsidR="00000000" w:rsidRDefault="002A0ED3">
      <w:r>
        <w:t>Homework shall be typed or neatly handwritten in pencil on engineering graph paper</w:t>
      </w:r>
      <w:r>
        <w:rPr>
          <w:rFonts w:ascii="Arial" w:hAnsi="Arial" w:cs="Arial"/>
          <w:b/>
          <w:bCs/>
        </w:rPr>
        <w:t>.</w:t>
      </w:r>
      <w:r>
        <w:t xml:space="preserve">  There is no provision for make-up of homework assignments.  A missed homework assignment is a zero and will be factored</w:t>
      </w:r>
      <w:r>
        <w:t xml:space="preserve"> into the final grade.</w:t>
      </w:r>
    </w:p>
    <w:p w:rsidR="00000000" w:rsidRDefault="002A0ED3">
      <w:pPr>
        <w:rPr>
          <w:rFonts w:ascii="Arial" w:hAnsi="Arial" w:cs="Arial"/>
          <w:b/>
          <w:bCs/>
        </w:rPr>
      </w:pPr>
    </w:p>
    <w:p w:rsidR="00000000" w:rsidRDefault="002A0ED3">
      <w:pPr>
        <w:rPr>
          <w:rFonts w:ascii="Arial" w:hAnsi="Arial" w:cs="Arial"/>
          <w:b/>
          <w:bCs/>
        </w:rPr>
      </w:pPr>
      <w:r>
        <w:rPr>
          <w:rFonts w:ascii="Arial" w:hAnsi="Arial" w:cs="Arial"/>
          <w:b/>
          <w:bCs/>
        </w:rPr>
        <w:t>Examinations:</w:t>
      </w:r>
    </w:p>
    <w:p w:rsidR="00000000" w:rsidRDefault="002A0ED3">
      <w:r>
        <w:t>There will be one midterm and one final exam scheduled during the semester. Students are expected to take the exams at the scheduled times.  Generally, no make-up test will be given except for medical emergencies or ot</w:t>
      </w:r>
      <w:r>
        <w:t xml:space="preserve">her valid reason for which prior approval has been obtained.  </w:t>
      </w:r>
    </w:p>
    <w:p w:rsidR="00000000" w:rsidRDefault="002A0ED3">
      <w:pPr>
        <w:rPr>
          <w:rFonts w:ascii="Arial" w:hAnsi="Arial" w:cs="Arial"/>
          <w:b/>
          <w:bCs/>
        </w:rPr>
      </w:pPr>
    </w:p>
    <w:p w:rsidR="00000000" w:rsidRDefault="002A0ED3">
      <w:pPr>
        <w:rPr>
          <w:rFonts w:ascii="Arial" w:hAnsi="Arial" w:cs="Arial"/>
          <w:b/>
          <w:bCs/>
        </w:rPr>
      </w:pPr>
      <w:r>
        <w:rPr>
          <w:rFonts w:ascii="Arial" w:hAnsi="Arial" w:cs="Arial"/>
          <w:b/>
          <w:bCs/>
        </w:rPr>
        <w:t>Projects:</w:t>
      </w:r>
    </w:p>
    <w:p w:rsidR="00000000" w:rsidRDefault="002A0ED3">
      <w:r>
        <w:t>Applied design projects and reports emphasize teamwork and communication, as well as the application of industry-standard hydraulic, word-processing, spreadsheet, and presentation so</w:t>
      </w:r>
      <w:r>
        <w:t>ftware.  The need for professionalism and excellence is reinforced through the requirement for assignments to be completed on time and in a neat and well-organized manner</w:t>
      </w:r>
    </w:p>
    <w:p w:rsidR="00000000" w:rsidRDefault="002A0ED3"/>
    <w:p w:rsidR="00000000" w:rsidRDefault="002A0ED3">
      <w:pPr>
        <w:rPr>
          <w:rFonts w:ascii="Arial" w:hAnsi="Arial" w:cs="Arial"/>
          <w:b/>
          <w:bCs/>
        </w:rPr>
      </w:pPr>
      <w:r>
        <w:rPr>
          <w:rFonts w:ascii="Arial" w:hAnsi="Arial" w:cs="Arial"/>
          <w:b/>
          <w:bCs/>
        </w:rPr>
        <w:t xml:space="preserve">Attendance/Participation:  </w:t>
      </w:r>
    </w:p>
    <w:p w:rsidR="00000000" w:rsidRDefault="002A0ED3">
      <w:r>
        <w:t>Students are expected to attend every class period and h</w:t>
      </w:r>
      <w:r>
        <w:t>ave homework and project assignments completed and ready to present.  A missed class does not excuse responsibility for the work covered in class and the homework assignments.  No late assignments will be accepted.  Generally, no make-up test will be given</w:t>
      </w:r>
      <w:r>
        <w:t xml:space="preserve"> unless prior approval has been obtained.  Students will be held to the standards set forth in the </w:t>
      </w:r>
      <w:r>
        <w:rPr>
          <w:i/>
          <w:iCs/>
          <w:u w:val="single"/>
        </w:rPr>
        <w:t>Student Handbook,</w:t>
      </w:r>
      <w:r>
        <w:t xml:space="preserve"> stated as the College’s “Code of Academic Conduct.”  </w:t>
      </w:r>
    </w:p>
    <w:p w:rsidR="00000000" w:rsidRDefault="002A0ED3"/>
    <w:p w:rsidR="00000000" w:rsidRDefault="002A0ED3">
      <w:pPr>
        <w:jc w:val="both"/>
        <w:rPr>
          <w:rFonts w:ascii="Arial" w:hAnsi="Arial" w:cs="Arial"/>
        </w:rPr>
      </w:pPr>
    </w:p>
    <w:tbl>
      <w:tblPr>
        <w:tblW w:w="5402" w:type="dxa"/>
        <w:jc w:val="center"/>
        <w:shd w:val="clear" w:color="auto" w:fill="CCECFF"/>
        <w:tblLook w:val="04A0" w:firstRow="1" w:lastRow="0" w:firstColumn="1" w:lastColumn="0" w:noHBand="0" w:noVBand="1"/>
      </w:tblPr>
      <w:tblGrid>
        <w:gridCol w:w="3708"/>
        <w:gridCol w:w="1694"/>
      </w:tblGrid>
      <w:tr w:rsidR="00000000">
        <w:trPr>
          <w:trHeight w:val="281"/>
          <w:jc w:val="center"/>
        </w:trPr>
        <w:tc>
          <w:tcPr>
            <w:tcW w:w="3708"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 xml:space="preserve">Homework </w:t>
            </w:r>
          </w:p>
        </w:tc>
        <w:tc>
          <w:tcPr>
            <w:tcW w:w="1694"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Projects</w:t>
            </w:r>
          </w:p>
        </w:tc>
        <w:tc>
          <w:tcPr>
            <w:tcW w:w="1694"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Mid-Term Exam</w:t>
            </w:r>
          </w:p>
        </w:tc>
        <w:tc>
          <w:tcPr>
            <w:tcW w:w="1694"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Final Exam</w:t>
            </w:r>
          </w:p>
        </w:tc>
        <w:tc>
          <w:tcPr>
            <w:tcW w:w="1694" w:type="dxa"/>
            <w:shd w:val="clear" w:color="auto" w:fill="CCECFF"/>
            <w:noWrap/>
            <w:vAlign w:val="bottom"/>
            <w:hideMark/>
          </w:tcPr>
          <w:p w:rsidR="00000000" w:rsidRDefault="002A0ED3">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2A0ED3">
            <w:pPr>
              <w:jc w:val="center"/>
              <w:rPr>
                <w:rFonts w:ascii="Arial" w:hAnsi="Arial" w:cs="Arial"/>
                <w:b/>
                <w:sz w:val="20"/>
                <w:szCs w:val="20"/>
              </w:rPr>
            </w:pPr>
            <w:r>
              <w:rPr>
                <w:rFonts w:ascii="Arial" w:hAnsi="Arial" w:cs="Arial"/>
                <w:b/>
                <w:sz w:val="20"/>
                <w:szCs w:val="20"/>
              </w:rPr>
              <w:t>TOTAL</w:t>
            </w:r>
          </w:p>
        </w:tc>
        <w:tc>
          <w:tcPr>
            <w:tcW w:w="1694" w:type="dxa"/>
            <w:shd w:val="clear" w:color="auto" w:fill="CCECFF"/>
            <w:noWrap/>
            <w:vAlign w:val="bottom"/>
            <w:hideMark/>
          </w:tcPr>
          <w:p w:rsidR="00000000" w:rsidRDefault="002A0ED3">
            <w:pPr>
              <w:jc w:val="center"/>
              <w:rPr>
                <w:rFonts w:ascii="Arial" w:hAnsi="Arial" w:cs="Arial"/>
                <w:b/>
                <w:sz w:val="20"/>
                <w:szCs w:val="20"/>
              </w:rPr>
            </w:pPr>
            <w:r>
              <w:rPr>
                <w:rFonts w:ascii="Arial" w:hAnsi="Arial" w:cs="Arial"/>
                <w:b/>
                <w:sz w:val="20"/>
                <w:szCs w:val="20"/>
              </w:rPr>
              <w:t>100%</w:t>
            </w:r>
          </w:p>
        </w:tc>
      </w:tr>
    </w:tbl>
    <w:p w:rsidR="00000000" w:rsidRDefault="002A0ED3">
      <w:pPr>
        <w:shd w:val="clear" w:color="auto" w:fill="FFFFFF"/>
        <w:spacing w:before="100" w:beforeAutospacing="1" w:line="236" w:lineRule="atLeast"/>
        <w:rPr>
          <w:rFonts w:ascii="Arial" w:hAnsi="Arial" w:cs="Arial"/>
          <w:b/>
          <w:color w:val="333399"/>
          <w:u w:val="single"/>
        </w:rPr>
      </w:pPr>
    </w:p>
    <w:p w:rsidR="00000000" w:rsidRDefault="002A0ED3">
      <w:pPr>
        <w:rPr>
          <w:rFonts w:ascii="Arial" w:hAnsi="Arial" w:cs="Arial"/>
          <w:b/>
          <w:color w:val="333399"/>
          <w:u w:val="single"/>
        </w:rPr>
      </w:pPr>
      <w:r>
        <w:rPr>
          <w:rFonts w:ascii="Arial" w:hAnsi="Arial" w:cs="Arial"/>
          <w:b/>
          <w:color w:val="333399"/>
          <w:u w:val="single"/>
        </w:rPr>
        <w:br w:type="page"/>
      </w:r>
    </w:p>
    <w:p w:rsidR="00000000" w:rsidRDefault="002A0ED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lastRenderedPageBreak/>
        <w:t>Accommodations for Students with Disabilities:</w:t>
      </w:r>
    </w:p>
    <w:p w:rsidR="00000000" w:rsidRDefault="002A0ED3">
      <w:pPr>
        <w:spacing w:after="160" w:line="252" w:lineRule="auto"/>
        <w:rPr>
          <w:rFonts w:eastAsia="Calibri"/>
          <w:bCs/>
        </w:rPr>
      </w:pPr>
      <w:r>
        <w:rPr>
          <w:rFonts w:eastAsia="Calibri"/>
          <w:bCs/>
        </w:rPr>
        <w:t>In compliance with the Americans with Disabilities Act of 1990 and Section 504 of the Rehabilitation Act, SUNY Polytechnic Institute is committed to ensuring comprehensive educational access and accommodations</w:t>
      </w:r>
      <w:r>
        <w:rPr>
          <w:rFonts w:eastAsia="Calibri"/>
          <w:bCs/>
        </w:rPr>
        <w:t xml:space="preserve"> for all registered students seeking access to meet course requirements and fully participate in programs and activities.  Students with documented disabilities or medical conditions are encouraged to request these services by registering with the Office o</w:t>
      </w:r>
      <w:r>
        <w:rPr>
          <w:rFonts w:eastAsia="Calibri"/>
          <w:bCs/>
        </w:rPr>
        <w:t>f Disability Services.  For information related to these services or to schedule an appointment, please contact the Office of Disability Services using the information provided below.</w:t>
      </w:r>
    </w:p>
    <w:p w:rsidR="00000000" w:rsidRDefault="002A0ED3">
      <w:pPr>
        <w:spacing w:line="252" w:lineRule="auto"/>
        <w:rPr>
          <w:rFonts w:eastAsia="Calibri"/>
          <w:bCs/>
        </w:rPr>
      </w:pPr>
      <w:r>
        <w:rPr>
          <w:rFonts w:eastAsia="Calibri"/>
          <w:bCs/>
        </w:rPr>
        <w:t>Evelyn Lester, Director</w:t>
      </w:r>
    </w:p>
    <w:p w:rsidR="00000000" w:rsidRDefault="002A0ED3">
      <w:pPr>
        <w:rPr>
          <w:rFonts w:eastAsia="Calibri"/>
          <w:bCs/>
        </w:rPr>
      </w:pPr>
      <w:r>
        <w:rPr>
          <w:rFonts w:eastAsia="Calibri"/>
          <w:bCs/>
        </w:rPr>
        <w:t>Office of Disability Services</w:t>
      </w:r>
    </w:p>
    <w:p w:rsidR="00000000" w:rsidRDefault="002A0ED3">
      <w:pPr>
        <w:rPr>
          <w:rFonts w:eastAsia="Calibri"/>
          <w:bCs/>
        </w:rPr>
      </w:pPr>
      <w:hyperlink r:id="rId5" w:history="1">
        <w:r>
          <w:rPr>
            <w:rStyle w:val="Hyperlink"/>
            <w:rFonts w:eastAsia="Calibri"/>
            <w:bCs/>
            <w:color w:val="0563C1"/>
          </w:rPr>
          <w:t>lestere@sunypoly.edu</w:t>
        </w:r>
      </w:hyperlink>
    </w:p>
    <w:p w:rsidR="00000000" w:rsidRDefault="002A0ED3">
      <w:pPr>
        <w:rPr>
          <w:rFonts w:eastAsia="Calibri"/>
          <w:bCs/>
        </w:rPr>
      </w:pPr>
      <w:r>
        <w:rPr>
          <w:rFonts w:eastAsia="Calibri"/>
          <w:bCs/>
        </w:rPr>
        <w:t>(315) 792-7170</w:t>
      </w:r>
    </w:p>
    <w:p w:rsidR="00000000" w:rsidRDefault="002A0ED3">
      <w:pPr>
        <w:spacing w:line="252" w:lineRule="auto"/>
        <w:rPr>
          <w:rFonts w:eastAsia="Calibri"/>
          <w:bCs/>
        </w:rPr>
      </w:pPr>
    </w:p>
    <w:p w:rsidR="00000000" w:rsidRDefault="002A0ED3">
      <w:pPr>
        <w:spacing w:line="252" w:lineRule="auto"/>
        <w:rPr>
          <w:rFonts w:eastAsia="Calibri"/>
          <w:bCs/>
        </w:rPr>
      </w:pPr>
      <w:r>
        <w:rPr>
          <w:rFonts w:eastAsia="Calibri"/>
          <w:bCs/>
        </w:rPr>
        <w:t>Utica Campus</w:t>
      </w:r>
    </w:p>
    <w:p w:rsidR="00000000" w:rsidRDefault="002A0ED3">
      <w:pPr>
        <w:spacing w:line="252" w:lineRule="auto"/>
        <w:rPr>
          <w:rFonts w:eastAsia="Calibri"/>
          <w:bCs/>
        </w:rPr>
      </w:pPr>
      <w:r>
        <w:rPr>
          <w:rFonts w:eastAsia="Calibri"/>
          <w:bCs/>
        </w:rPr>
        <w:t xml:space="preserve">Peter J. </w:t>
      </w:r>
      <w:proofErr w:type="spellStart"/>
      <w:r>
        <w:rPr>
          <w:rFonts w:eastAsia="Calibri"/>
          <w:bCs/>
        </w:rPr>
        <w:t>Cayan</w:t>
      </w:r>
      <w:proofErr w:type="spellEnd"/>
      <w:r>
        <w:rPr>
          <w:rFonts w:eastAsia="Calibri"/>
          <w:bCs/>
        </w:rPr>
        <w:t xml:space="preserve"> Library, L145</w:t>
      </w:r>
    </w:p>
    <w:p w:rsidR="00000000" w:rsidRDefault="002A0ED3">
      <w:pPr>
        <w:spacing w:line="252" w:lineRule="auto"/>
        <w:rPr>
          <w:rFonts w:eastAsia="Calibri"/>
          <w:bCs/>
        </w:rPr>
      </w:pPr>
    </w:p>
    <w:p w:rsidR="00000000" w:rsidRDefault="002A0ED3">
      <w:pPr>
        <w:spacing w:line="252" w:lineRule="auto"/>
        <w:rPr>
          <w:rFonts w:eastAsia="Calibri"/>
          <w:bCs/>
        </w:rPr>
      </w:pPr>
      <w:r>
        <w:rPr>
          <w:rFonts w:eastAsia="Calibri"/>
          <w:bCs/>
        </w:rPr>
        <w:t>Albany Campus</w:t>
      </w:r>
    </w:p>
    <w:p w:rsidR="00000000" w:rsidRDefault="002A0ED3">
      <w:pPr>
        <w:spacing w:line="252" w:lineRule="auto"/>
        <w:rPr>
          <w:rFonts w:eastAsia="Calibri"/>
          <w:bCs/>
        </w:rPr>
      </w:pPr>
      <w:r>
        <w:rPr>
          <w:rFonts w:eastAsia="Calibri"/>
          <w:bCs/>
        </w:rPr>
        <w:t>Suite 309, Students Services Office</w:t>
      </w:r>
    </w:p>
    <w:p w:rsidR="00000000" w:rsidRDefault="002A0ED3">
      <w:pPr>
        <w:spacing w:line="252" w:lineRule="auto"/>
        <w:rPr>
          <w:rFonts w:eastAsia="Calibri"/>
          <w:bCs/>
        </w:rPr>
      </w:pPr>
      <w:proofErr w:type="spellStart"/>
      <w:r>
        <w:rPr>
          <w:rFonts w:eastAsia="Calibri"/>
          <w:bCs/>
        </w:rPr>
        <w:t>NanoFab</w:t>
      </w:r>
      <w:proofErr w:type="spellEnd"/>
      <w:r>
        <w:rPr>
          <w:rFonts w:eastAsia="Calibri"/>
          <w:bCs/>
        </w:rPr>
        <w:t xml:space="preserve"> South</w:t>
      </w:r>
    </w:p>
    <w:p w:rsidR="00000000" w:rsidRDefault="002A0ED3">
      <w:pPr>
        <w:pStyle w:val="NormalWeb"/>
        <w:rPr>
          <w:color w:val="FF0000"/>
        </w:rPr>
      </w:pPr>
      <w:r>
        <w:t xml:space="preserve"> </w:t>
      </w:r>
    </w:p>
    <w:p w:rsidR="002A0ED3" w:rsidRDefault="002A0ED3">
      <w:pPr>
        <w:pStyle w:val="NormalWeb"/>
        <w:jc w:val="center"/>
        <w:rPr>
          <w:i/>
          <w:iCs/>
          <w:sz w:val="20"/>
          <w:szCs w:val="20"/>
        </w:rPr>
      </w:pPr>
      <w:r>
        <w:rPr>
          <w:i/>
          <w:iCs/>
          <w:sz w:val="20"/>
          <w:szCs w:val="20"/>
        </w:rPr>
        <w:t xml:space="preserve">Prepared By S. Jayne Baran on </w:t>
      </w:r>
      <w:r>
        <w:rPr>
          <w:i/>
          <w:iCs/>
          <w:sz w:val="20"/>
          <w:szCs w:val="20"/>
        </w:rPr>
        <w:fldChar w:fldCharType="begin"/>
      </w:r>
      <w:r>
        <w:rPr>
          <w:i/>
          <w:iCs/>
          <w:sz w:val="20"/>
          <w:szCs w:val="20"/>
        </w:rPr>
        <w:instrText xml:space="preserve"> TIME \@ "MMMM d, yyyy" </w:instrText>
      </w:r>
      <w:r>
        <w:rPr>
          <w:i/>
          <w:iCs/>
          <w:sz w:val="20"/>
          <w:szCs w:val="20"/>
        </w:rPr>
        <w:fldChar w:fldCharType="separate"/>
      </w:r>
      <w:r w:rsidR="00AA3799">
        <w:rPr>
          <w:i/>
          <w:iCs/>
          <w:noProof/>
          <w:sz w:val="20"/>
          <w:szCs w:val="20"/>
        </w:rPr>
        <w:t>February 12, 2021</w:t>
      </w:r>
      <w:r>
        <w:rPr>
          <w:i/>
          <w:iCs/>
          <w:sz w:val="20"/>
          <w:szCs w:val="20"/>
        </w:rPr>
        <w:fldChar w:fldCharType="end"/>
      </w:r>
    </w:p>
    <w:sectPr w:rsidR="002A0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4A6"/>
    <w:multiLevelType w:val="hybridMultilevel"/>
    <w:tmpl w:val="DE44727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7ADA"/>
    <w:multiLevelType w:val="hybridMultilevel"/>
    <w:tmpl w:val="AA24928C"/>
    <w:lvl w:ilvl="0" w:tplc="6FDA9F9E">
      <w:start w:val="1"/>
      <w:numFmt w:val="decimal"/>
      <w:lvlText w:val="%1."/>
      <w:lvlJc w:val="left"/>
      <w:pPr>
        <w:tabs>
          <w:tab w:val="num" w:pos="720"/>
        </w:tabs>
        <w:ind w:left="720" w:hanging="360"/>
      </w:pPr>
    </w:lvl>
    <w:lvl w:ilvl="1" w:tplc="F9C0F684">
      <w:start w:val="1"/>
      <w:numFmt w:val="decimal"/>
      <w:lvlText w:val="%2."/>
      <w:lvlJc w:val="left"/>
      <w:pPr>
        <w:tabs>
          <w:tab w:val="num" w:pos="1440"/>
        </w:tabs>
        <w:ind w:left="1440" w:hanging="360"/>
      </w:pPr>
    </w:lvl>
    <w:lvl w:ilvl="2" w:tplc="AAAC34C8">
      <w:start w:val="1"/>
      <w:numFmt w:val="decimal"/>
      <w:lvlText w:val="%3."/>
      <w:lvlJc w:val="left"/>
      <w:pPr>
        <w:tabs>
          <w:tab w:val="num" w:pos="2160"/>
        </w:tabs>
        <w:ind w:left="2160" w:hanging="360"/>
      </w:pPr>
    </w:lvl>
    <w:lvl w:ilvl="3" w:tplc="3A24F1BC">
      <w:start w:val="1"/>
      <w:numFmt w:val="decimal"/>
      <w:lvlText w:val="%4."/>
      <w:lvlJc w:val="left"/>
      <w:pPr>
        <w:tabs>
          <w:tab w:val="num" w:pos="2880"/>
        </w:tabs>
        <w:ind w:left="2880" w:hanging="360"/>
      </w:pPr>
    </w:lvl>
    <w:lvl w:ilvl="4" w:tplc="7210313A">
      <w:start w:val="1"/>
      <w:numFmt w:val="decimal"/>
      <w:lvlText w:val="%5."/>
      <w:lvlJc w:val="left"/>
      <w:pPr>
        <w:tabs>
          <w:tab w:val="num" w:pos="3600"/>
        </w:tabs>
        <w:ind w:left="3600" w:hanging="360"/>
      </w:pPr>
    </w:lvl>
    <w:lvl w:ilvl="5" w:tplc="D9F08FD8">
      <w:start w:val="1"/>
      <w:numFmt w:val="decimal"/>
      <w:lvlText w:val="%6."/>
      <w:lvlJc w:val="left"/>
      <w:pPr>
        <w:tabs>
          <w:tab w:val="num" w:pos="4320"/>
        </w:tabs>
        <w:ind w:left="4320" w:hanging="360"/>
      </w:pPr>
    </w:lvl>
    <w:lvl w:ilvl="6" w:tplc="B4FEF98E">
      <w:start w:val="1"/>
      <w:numFmt w:val="decimal"/>
      <w:lvlText w:val="%7."/>
      <w:lvlJc w:val="left"/>
      <w:pPr>
        <w:tabs>
          <w:tab w:val="num" w:pos="5040"/>
        </w:tabs>
        <w:ind w:left="5040" w:hanging="360"/>
      </w:pPr>
    </w:lvl>
    <w:lvl w:ilvl="7" w:tplc="4A840A36">
      <w:start w:val="1"/>
      <w:numFmt w:val="decimal"/>
      <w:lvlText w:val="%8."/>
      <w:lvlJc w:val="left"/>
      <w:pPr>
        <w:tabs>
          <w:tab w:val="num" w:pos="5760"/>
        </w:tabs>
        <w:ind w:left="5760" w:hanging="360"/>
      </w:pPr>
    </w:lvl>
    <w:lvl w:ilvl="8" w:tplc="3E62AEA2">
      <w:start w:val="1"/>
      <w:numFmt w:val="decimal"/>
      <w:lvlText w:val="%9."/>
      <w:lvlJc w:val="left"/>
      <w:pPr>
        <w:tabs>
          <w:tab w:val="num" w:pos="6480"/>
        </w:tabs>
        <w:ind w:left="6480" w:hanging="360"/>
      </w:pPr>
    </w:lvl>
  </w:abstractNum>
  <w:abstractNum w:abstractNumId="2" w15:restartNumberingAfterBreak="0">
    <w:nsid w:val="0DDC629C"/>
    <w:multiLevelType w:val="hybridMultilevel"/>
    <w:tmpl w:val="A63A6B7A"/>
    <w:lvl w:ilvl="0" w:tplc="BF243956">
      <w:start w:val="1"/>
      <w:numFmt w:val="decimal"/>
      <w:lvlText w:val="%1."/>
      <w:lvlJc w:val="left"/>
      <w:pPr>
        <w:tabs>
          <w:tab w:val="num" w:pos="720"/>
        </w:tabs>
        <w:ind w:left="720" w:hanging="360"/>
      </w:pPr>
    </w:lvl>
    <w:lvl w:ilvl="1" w:tplc="13FAABB0">
      <w:start w:val="1"/>
      <w:numFmt w:val="decimal"/>
      <w:lvlText w:val="%2."/>
      <w:lvlJc w:val="left"/>
      <w:pPr>
        <w:tabs>
          <w:tab w:val="num" w:pos="1440"/>
        </w:tabs>
        <w:ind w:left="1440" w:hanging="360"/>
      </w:pPr>
    </w:lvl>
    <w:lvl w:ilvl="2" w:tplc="20F8499E">
      <w:start w:val="1"/>
      <w:numFmt w:val="decimal"/>
      <w:lvlText w:val="%3."/>
      <w:lvlJc w:val="left"/>
      <w:pPr>
        <w:tabs>
          <w:tab w:val="num" w:pos="2160"/>
        </w:tabs>
        <w:ind w:left="2160" w:hanging="360"/>
      </w:pPr>
    </w:lvl>
    <w:lvl w:ilvl="3" w:tplc="C562F2EE">
      <w:start w:val="1"/>
      <w:numFmt w:val="decimal"/>
      <w:lvlText w:val="%4."/>
      <w:lvlJc w:val="left"/>
      <w:pPr>
        <w:tabs>
          <w:tab w:val="num" w:pos="2880"/>
        </w:tabs>
        <w:ind w:left="2880" w:hanging="360"/>
      </w:pPr>
    </w:lvl>
    <w:lvl w:ilvl="4" w:tplc="1DCC72E2">
      <w:start w:val="1"/>
      <w:numFmt w:val="decimal"/>
      <w:lvlText w:val="%5."/>
      <w:lvlJc w:val="left"/>
      <w:pPr>
        <w:tabs>
          <w:tab w:val="num" w:pos="3600"/>
        </w:tabs>
        <w:ind w:left="3600" w:hanging="360"/>
      </w:pPr>
    </w:lvl>
    <w:lvl w:ilvl="5" w:tplc="A2BC9C62">
      <w:start w:val="1"/>
      <w:numFmt w:val="decimal"/>
      <w:lvlText w:val="%6."/>
      <w:lvlJc w:val="left"/>
      <w:pPr>
        <w:tabs>
          <w:tab w:val="num" w:pos="4320"/>
        </w:tabs>
        <w:ind w:left="4320" w:hanging="360"/>
      </w:pPr>
    </w:lvl>
    <w:lvl w:ilvl="6" w:tplc="D0F498D4">
      <w:start w:val="1"/>
      <w:numFmt w:val="decimal"/>
      <w:lvlText w:val="%7."/>
      <w:lvlJc w:val="left"/>
      <w:pPr>
        <w:tabs>
          <w:tab w:val="num" w:pos="5040"/>
        </w:tabs>
        <w:ind w:left="5040" w:hanging="360"/>
      </w:pPr>
    </w:lvl>
    <w:lvl w:ilvl="7" w:tplc="9A262E58">
      <w:start w:val="1"/>
      <w:numFmt w:val="decimal"/>
      <w:lvlText w:val="%8."/>
      <w:lvlJc w:val="left"/>
      <w:pPr>
        <w:tabs>
          <w:tab w:val="num" w:pos="5760"/>
        </w:tabs>
        <w:ind w:left="5760" w:hanging="360"/>
      </w:pPr>
    </w:lvl>
    <w:lvl w:ilvl="8" w:tplc="620AAE34">
      <w:start w:val="1"/>
      <w:numFmt w:val="decimal"/>
      <w:lvlText w:val="%9."/>
      <w:lvlJc w:val="left"/>
      <w:pPr>
        <w:tabs>
          <w:tab w:val="num" w:pos="6480"/>
        </w:tabs>
        <w:ind w:left="6480" w:hanging="360"/>
      </w:pPr>
    </w:lvl>
  </w:abstractNum>
  <w:abstractNum w:abstractNumId="3" w15:restartNumberingAfterBreak="0">
    <w:nsid w:val="0DF805B5"/>
    <w:multiLevelType w:val="multilevel"/>
    <w:tmpl w:val="2DF0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7606C1"/>
    <w:multiLevelType w:val="multilevel"/>
    <w:tmpl w:val="A9FC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AA3799"/>
    <w:rsid w:val="002A0ED3"/>
    <w:rsid w:val="00AA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68E11-ADB5-43EB-AEE8-143B753B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unhideWhenUsed/>
    <w:rPr>
      <w:color w:val="800080"/>
      <w:u w:val="single"/>
    </w:rPr>
  </w:style>
  <w:style w:type="paragraph" w:customStyle="1" w:styleId="msonormal0">
    <w:name w:val="msonormal"/>
    <w:basedOn w:val="Normal"/>
    <w:semiHidden/>
    <w:pPr>
      <w:spacing w:before="100" w:beforeAutospacing="1" w:after="100" w:afterAutospacing="1"/>
    </w:pPr>
  </w:style>
  <w:style w:type="paragraph" w:styleId="NormalWeb">
    <w:name w:val="Normal (Web)"/>
    <w:basedOn w:val="Normal"/>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stere@sunypoly.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CTC/MTC 475 SYLLABUS</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CTC/MTC 475 SYLLABUS</dc:title>
  <dc:subject/>
  <dc:creator>Jayne Baran</dc:creator>
  <cp:keywords/>
  <dc:description/>
  <cp:lastModifiedBy>Jayne Baran</cp:lastModifiedBy>
  <cp:revision>2</cp:revision>
  <cp:lastPrinted>2020-02-20T14:13:00Z</cp:lastPrinted>
  <dcterms:created xsi:type="dcterms:W3CDTF">2021-02-12T22:10:00Z</dcterms:created>
  <dcterms:modified xsi:type="dcterms:W3CDTF">2021-02-12T22:10:00Z</dcterms:modified>
</cp:coreProperties>
</file>